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before="120" w:beforeAutospacing="0" w:after="120" w:afterAutospacing="0" w:line="360" w:lineRule="auto"/>
        <w:rPr>
          <w:rFonts w:hint="eastAsia" w:eastAsia="宋体"/>
          <w:lang w:val="en-US" w:eastAsia="zh-CN"/>
        </w:rPr>
      </w:pPr>
      <w:r>
        <w:t xml:space="preserve"> </w:t>
      </w:r>
      <w:r/>
    </w:p>
    <w:p>
      <w:pPr>
        <w:pStyle w:val="695"/>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 标 文 件</w:t>
      </w:r>
      <w:r/>
    </w:p>
    <w:p>
      <w:pPr>
        <w:pStyle w:val="695"/>
        <w:jc w:val="both"/>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95"/>
        <w:ind w:firstLine="640"/>
        <w:spacing w:before="120" w:beforeAutospacing="0" w:after="120" w:afterAutospacing="0" w:line="360" w:lineRule="auto"/>
      </w:pPr>
      <w:r>
        <w:rPr>
          <w:rFonts w:ascii="Arial" w:hAnsi="Arial" w:cs="Arial"/>
          <w:b/>
          <w:sz w:val="32"/>
          <w:szCs w:val="32"/>
        </w:rPr>
        <w:t xml:space="preserve">项目名称：</w:t>
      </w:r>
      <w:r>
        <w:rPr>
          <w:rFonts w:hint="eastAsia" w:ascii="Arial" w:hAnsi="Arial" w:cs="Arial"/>
          <w:b/>
          <w:sz w:val="32"/>
          <w:szCs w:val="32"/>
        </w:rPr>
        <w:t xml:space="preserve">滨海县民兵训练基地厨房设备采购及安装项目</w:t>
      </w:r>
      <w:r/>
    </w:p>
    <w:p>
      <w:pPr>
        <w:pStyle w:val="695"/>
        <w:ind w:firstLine="643"/>
        <w:jc w:val="both"/>
        <w:spacing w:before="120" w:beforeAutospacing="0" w:after="120" w:afterAutospacing="0" w:line="360" w:lineRule="auto"/>
      </w:pPr>
      <w:r>
        <w:rPr>
          <w:rFonts w:ascii="Arial" w:hAnsi="Arial" w:cs="Arial"/>
          <w:b/>
          <w:sz w:val="32"/>
          <w:szCs w:val="32"/>
        </w:rPr>
        <w:t xml:space="preserve">项目编号：</w:t>
      </w:r>
      <w:r>
        <w:rPr>
          <w:rFonts w:hint="eastAsia" w:ascii="Arial" w:hAnsi="Arial" w:cs="Arial"/>
          <w:b/>
          <w:sz w:val="32"/>
          <w:szCs w:val="32"/>
        </w:rPr>
        <w:t xml:space="preserve">JSZC-320922-YTGC-G2025-0037</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spacing w:beforeAutospacing="0" w:afterAutospacing="0" w:line="360" w:lineRule="auto"/>
      </w:pPr>
      <w:r/>
      <w:r/>
    </w:p>
    <w:p>
      <w:pPr>
        <w:pStyle w:val="695"/>
        <w:spacing w:beforeAutospacing="0" w:afterAutospacing="0" w:line="360" w:lineRule="auto"/>
      </w:pPr>
      <w:r/>
      <w:r/>
    </w:p>
    <w:p>
      <w:pPr>
        <w:pStyle w:val="695"/>
        <w:spacing w:beforeAutospacing="0" w:afterAutospacing="0" w:line="360" w:lineRule="auto"/>
      </w:pPr>
      <w:r/>
      <w:r/>
    </w:p>
    <w:p>
      <w:pPr>
        <w:pStyle w:val="695"/>
        <w:spacing w:beforeAutospacing="0" w:afterAutospacing="0" w:line="360" w:lineRule="auto"/>
      </w:pPr>
      <w:r/>
      <w:r/>
    </w:p>
    <w:p>
      <w:pPr>
        <w:pStyle w:val="695"/>
        <w:spacing w:beforeAutospacing="0" w:afterAutospacing="0" w:line="360" w:lineRule="auto"/>
      </w:pPr>
      <w:r/>
      <w:r/>
    </w:p>
    <w:p>
      <w:pPr>
        <w:pStyle w:val="695"/>
        <w:spacing w:beforeAutospacing="0" w:afterAutospacing="0" w:line="360" w:lineRule="auto"/>
      </w:pPr>
      <w:r>
        <w:t xml:space="preserve"> </w:t>
      </w:r>
      <w:r/>
    </w:p>
    <w:p>
      <w:pPr>
        <w:pStyle w:val="695"/>
        <w:spacing w:beforeAutospacing="0" w:afterAutospacing="0" w:line="360" w:lineRule="auto"/>
      </w:pPr>
      <w:r>
        <w:t xml:space="preserve"> </w:t>
      </w:r>
      <w:r/>
    </w:p>
    <w:p>
      <w:pPr>
        <w:pStyle w:val="695"/>
        <w:jc w:val="center"/>
        <w:spacing w:before="120" w:beforeAutospacing="0" w:after="120" w:afterAutospacing="0" w:line="360" w:lineRule="auto"/>
        <w:rPr>
          <w:rFonts w:hint="eastAsia" w:ascii="Arial" w:hAnsi="Arial" w:cs="Arial"/>
          <w:b/>
          <w:sz w:val="32"/>
          <w:szCs w:val="32"/>
        </w:rPr>
      </w:pPr>
      <w:r>
        <w:rPr>
          <w:rFonts w:hint="eastAsia" w:ascii="Arial" w:hAnsi="Arial" w:cs="Arial"/>
          <w:b/>
          <w:sz w:val="32"/>
          <w:szCs w:val="32"/>
        </w:rPr>
        <w:t xml:space="preserve">滨海县退役军人事务局</w:t>
      </w:r>
      <w:r/>
    </w:p>
    <w:p>
      <w:pPr>
        <w:pStyle w:val="695"/>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1</w:t>
      </w:r>
      <w:r>
        <w:rPr>
          <w:rFonts w:hint="eastAsia" w:ascii="Arial" w:hAnsi="Arial" w:eastAsia="宋体" w:cs="Arial"/>
          <w:b/>
          <w:sz w:val="32"/>
          <w:szCs w:val="32"/>
          <w:lang w:val="en-US" w:eastAsia="zh-CN"/>
        </w:rPr>
        <w:t xml:space="preserve">2</w:t>
      </w:r>
      <w:r>
        <w:rPr>
          <w:rFonts w:ascii="Arial" w:hAnsi="Arial" w:cs="Arial"/>
          <w:b/>
          <w:sz w:val="32"/>
          <w:szCs w:val="32"/>
        </w:rPr>
        <w:t xml:space="preserve">月</w:t>
      </w:r>
      <w:r/>
    </w:p>
    <w:p>
      <w:pPr>
        <w:pStyle w:val="695"/>
        <w:spacing w:before="120" w:beforeAutospacing="0" w:after="120" w:afterAutospacing="0" w:line="360" w:lineRule="auto"/>
      </w:pPr>
      <w:r>
        <w:rPr>
          <w:rFonts w:ascii="Arial" w:hAnsi="Arial" w:cs="Arial"/>
        </w:rPr>
        <w:t xml:space="preserve">                        </w:t>
      </w:r>
      <w:r/>
    </w:p>
    <w:p>
      <w:pPr>
        <w:pStyle w:val="695"/>
        <w:jc w:val="center"/>
        <w:spacing w:before="120" w:beforeAutospacing="0" w:after="120" w:afterAutospacing="0" w:line="360" w:lineRule="auto"/>
      </w:pPr>
      <w:r>
        <w:t xml:space="preserve"> </w:t>
      </w:r>
      <w:r/>
    </w:p>
    <w:p>
      <w:pPr>
        <w:pStyle w:val="695"/>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523127445"/>
      <w:r/>
      <w:bookmarkStart w:id="1" w:name="_Toc16938516"/>
      <w:r/>
      <w:bookmarkStart w:id="2" w:name="_Toc479757206"/>
      <w:r/>
      <w:bookmarkStart w:id="3" w:name="_Toc20823272"/>
      <w:r/>
      <w:bookmarkStart w:id="4" w:name="_Toc513029200"/>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95"/>
        <w:jc w:val="both"/>
        <w:spacing w:beforeAutospacing="0" w:afterAutospacing="0" w:line="480" w:lineRule="auto"/>
      </w:pPr>
      <w:r>
        <w:t xml:space="preserve"> </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第一章   </w:t>
      </w:r>
      <w:r>
        <w:rPr>
          <w:rFonts w:hint="eastAsia" w:ascii="黑体" w:hAnsi="宋体" w:eastAsia="黑体" w:cs="黑体"/>
          <w:sz w:val="36"/>
          <w:szCs w:val="36"/>
        </w:rPr>
        <w:t xml:space="preserve">招标公告</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第二章   </w:t>
      </w:r>
      <w:r>
        <w:rPr>
          <w:rFonts w:hint="eastAsia" w:ascii="黑体" w:hAnsi="宋体" w:eastAsia="黑体" w:cs="黑体"/>
          <w:sz w:val="36"/>
          <w:szCs w:val="36"/>
        </w:rPr>
        <w:t xml:space="preserve">投标人须知</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第三章   </w:t>
      </w:r>
      <w:r>
        <w:rPr>
          <w:rFonts w:hint="eastAsia" w:ascii="黑体" w:hAnsi="宋体" w:eastAsia="黑体" w:cs="黑体"/>
          <w:sz w:val="36"/>
          <w:szCs w:val="36"/>
        </w:rPr>
        <w:t xml:space="preserve">合同条款</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第四章   </w:t>
      </w:r>
      <w:r>
        <w:rPr>
          <w:rFonts w:hint="eastAsia" w:ascii="黑体" w:hAnsi="宋体" w:eastAsia="黑体" w:cs="黑体"/>
          <w:sz w:val="36"/>
          <w:szCs w:val="36"/>
        </w:rPr>
        <w:t xml:space="preserve">采购需求</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第五章   </w:t>
      </w:r>
      <w:r>
        <w:rPr>
          <w:rFonts w:hint="eastAsia" w:ascii="黑体" w:hAnsi="宋体" w:eastAsia="黑体" w:cs="黑体"/>
          <w:sz w:val="36"/>
          <w:szCs w:val="36"/>
        </w:rPr>
        <w:t xml:space="preserve">评标方法与评标标准</w:t>
      </w:r>
      <w:r/>
    </w:p>
    <w:p>
      <w:pPr>
        <w:pStyle w:val="695"/>
        <w:ind w:left="2160" w:hanging="1440"/>
        <w:jc w:val="both"/>
        <w:spacing w:beforeAutospacing="0" w:afterAutospacing="0" w:line="480" w:lineRule="auto"/>
        <w:tabs>
          <w:tab w:val="left" w:pos="1441" w:leader="none"/>
        </w:tabs>
      </w:pPr>
      <w:r>
        <w:rPr>
          <w:rFonts w:hint="eastAsia" w:ascii="黑体" w:hAnsi="宋体" w:eastAsia="黑体" w:cs="黑体"/>
          <w:sz w:val="36"/>
          <w:szCs w:val="36"/>
          <w:lang w:val="en-US" w:eastAsia="zh-CN"/>
        </w:rPr>
        <w:t xml:space="preserve">第六章   </w:t>
      </w:r>
      <w:r>
        <w:rPr>
          <w:rFonts w:hint="eastAsia" w:ascii="黑体" w:hAnsi="宋体" w:eastAsia="黑体" w:cs="黑体"/>
          <w:sz w:val="36"/>
          <w:szCs w:val="36"/>
        </w:rPr>
        <w:t xml:space="preserve">投标文件格式</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pageBreakBefore w:val="0"/>
        <w:spacing w:beforeAutospacing="0" w:afterAutospacing="0" w:line="360" w:lineRule="auto"/>
      </w:pPr>
      <w:r/>
      <w:r/>
    </w:p>
    <w:p>
      <w:pPr>
        <w:pStyle w:val="695"/>
        <w:jc w:val="center"/>
        <w:keepNext/>
        <w:pageBreakBefore w:val="0"/>
        <w:spacing w:beforeAutospacing="0" w:afterAutospacing="0" w:line="36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695"/>
        <w:ind w:firstLine="480"/>
        <w:jc w:val="both"/>
        <w:pageBreakBefore w:val="0"/>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95"/>
        <w:ind w:firstLine="480"/>
        <w:jc w:val="both"/>
        <w:pageBreakBefore w:val="0"/>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滨海县民兵训练基地厨房设备采购及安装项目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2025年12月</w:t>
      </w:r>
      <w:r>
        <w:rPr>
          <w:rFonts w:hint="eastAsia" w:ascii="宋体" w:hAnsi="宋体" w:eastAsia="宋体" w:cs="宋体"/>
          <w:u w:val="single"/>
          <w:lang w:val="en-US" w:eastAsia="zh-CN"/>
        </w:rPr>
        <w:t xml:space="preserve">23</w:t>
      </w:r>
      <w:r>
        <w:rPr>
          <w:rFonts w:hint="eastAsia" w:ascii="宋体" w:hAnsi="宋体" w:eastAsia="宋体" w:cs="宋体"/>
          <w:u w:val="single"/>
        </w:rPr>
        <w:t xml:space="preserve">日9时00分00秒（</w:t>
      </w:r>
      <w:r>
        <w:rPr>
          <w:rFonts w:hint="eastAsia" w:ascii="宋体" w:hAnsi="宋体" w:eastAsia="宋体" w:cs="宋体"/>
        </w:rPr>
        <w:t xml:space="preserve">北京时间）前递交投标文件。</w:t>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bookmarkStart w:id="7" w:name="_Toc35393621"/>
      <w:r/>
      <w:bookmarkStart w:id="8" w:name="_Toc28359079"/>
      <w:r/>
      <w:bookmarkStart w:id="9" w:name="_Hlk24379207"/>
      <w:r/>
      <w:bookmarkStart w:id="10" w:name="_Toc28359002"/>
      <w:r/>
      <w:bookmarkStart w:id="11" w:name="_Toc35393790"/>
      <w:r/>
      <w:bookmarkStart w:id="12" w:name="_Toc38985263"/>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695"/>
        <w:ind w:firstLine="480"/>
        <w:jc w:val="both"/>
        <w:pageBreakBefore w:val="0"/>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1.项目编号：JSZC-320922-YTGC-G2025-0037</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2.项目名称：滨海县民兵训练基地厨房设备采购及安装项目</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4.预算金额：</w:t>
      </w:r>
      <w:r>
        <w:rPr>
          <w:rFonts w:hint="eastAsia" w:ascii="宋体" w:hAnsi="宋体" w:eastAsia="宋体" w:cs="宋体"/>
          <w:lang w:val="en-US" w:eastAsia="zh-CN"/>
        </w:rPr>
        <w:t xml:space="preserve">210</w:t>
      </w:r>
      <w:r>
        <w:rPr>
          <w:rFonts w:hint="eastAsia" w:ascii="宋体" w:hAnsi="宋体" w:eastAsia="宋体" w:cs="宋体"/>
        </w:rPr>
        <w:t xml:space="preserve">万元</w:t>
      </w:r>
      <w:r/>
    </w:p>
    <w:p>
      <w:pPr>
        <w:pStyle w:val="695"/>
        <w:ind w:firstLine="480"/>
        <w:jc w:val="both"/>
        <w:pageBreakBefore w:val="0"/>
        <w:spacing w:beforeAutospacing="0" w:afterAutospacing="0" w:line="360" w:lineRule="auto"/>
        <w:rPr>
          <w:rFonts w:hint="eastAsia" w:ascii="宋体" w:hAnsi="宋体" w:eastAsia="宋体" w:cs="宋体"/>
          <w:highlight w:val="none"/>
          <w:shd w:val="clear" w:color="ffffff" w:fill="d9d9d9"/>
        </w:rPr>
      </w:pPr>
      <w:r>
        <w:rPr>
          <w:rFonts w:hint="eastAsia" w:ascii="宋体" w:hAnsi="宋体" w:eastAsia="宋体" w:cs="宋体"/>
          <w:highlight w:val="none"/>
          <w:shd w:val="clear" w:color="auto" w:fill="ffffff"/>
        </w:rPr>
        <w:t xml:space="preserve">5.最高限价：</w:t>
      </w:r>
      <w:r>
        <w:rPr>
          <w:rFonts w:hint="eastAsia" w:ascii="宋体" w:hAnsi="宋体" w:eastAsia="宋体" w:cs="宋体"/>
          <w:highlight w:val="none"/>
          <w:lang w:val="en-US" w:eastAsia="zh-CN"/>
        </w:rPr>
        <w:t xml:space="preserve">190</w:t>
      </w:r>
      <w:r>
        <w:rPr>
          <w:rFonts w:hint="eastAsia" w:ascii="宋体" w:hAnsi="宋体" w:eastAsia="宋体" w:cs="宋体"/>
          <w:highlight w:val="none"/>
        </w:rPr>
        <w:t xml:space="preserve">万元</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6.</w:t>
      </w:r>
      <w:bookmarkStart w:id="13" w:name="_Hlk213738467"/>
      <w:r>
        <w:rPr>
          <w:rFonts w:hint="eastAsia" w:ascii="宋体" w:hAnsi="宋体" w:eastAsia="宋体" w:cs="宋体"/>
        </w:rPr>
        <w:t xml:space="preserve">采购需求（简介）：</w:t>
      </w:r>
      <w:bookmarkEnd w:id="13"/>
      <w:r>
        <w:rPr>
          <w:rFonts w:hint="eastAsia" w:ascii="宋体" w:hAnsi="宋体" w:eastAsia="宋体" w:cs="宋体"/>
        </w:rPr>
        <w:t xml:space="preserve">滨海县民兵训练基地厨房设备采购及安装项目</w:t>
      </w:r>
      <w:r>
        <w:rPr>
          <w:rFonts w:hint="eastAsia" w:ascii="宋体" w:hAnsi="宋体" w:eastAsia="宋体" w:cs="宋体"/>
          <w:lang w:eastAsia="zh-CN"/>
        </w:rPr>
        <w:t xml:space="preserve">，</w:t>
      </w:r>
      <w:r>
        <w:rPr>
          <w:rFonts w:hint="eastAsia" w:ascii="宋体" w:hAnsi="宋体" w:eastAsia="宋体" w:cs="宋体"/>
        </w:rPr>
        <w:t xml:space="preserve">包括货物（含相关附配件）的采购、包装、运输、安装、调试、培训、验收、</w:t>
      </w:r>
      <w:r>
        <w:rPr>
          <w:rFonts w:hint="eastAsia" w:ascii="宋体" w:hAnsi="宋体" w:eastAsia="宋体" w:cs="宋体"/>
          <w:lang w:val="en-US" w:eastAsia="zh-CN"/>
        </w:rPr>
        <w:t xml:space="preserve">两</w:t>
      </w:r>
      <w:r>
        <w:rPr>
          <w:rFonts w:hint="eastAsia" w:ascii="宋体" w:hAnsi="宋体" w:eastAsia="宋体" w:cs="宋体"/>
        </w:rPr>
        <w:t xml:space="preserve">年质量保修期内维保、售前、售后等相关伴随服务。详细内容见本招标文件第四章。</w:t>
      </w:r>
      <w:r/>
    </w:p>
    <w:p>
      <w:pPr>
        <w:pStyle w:val="695"/>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rPr>
        <w:t xml:space="preserve">7.供货期限（含安装调试工期）</w:t>
      </w:r>
      <w:r>
        <w:rPr>
          <w:rFonts w:hint="eastAsia" w:ascii="宋体" w:hAnsi="宋体" w:eastAsia="宋体" w:cs="宋体"/>
          <w:highlight w:val="none"/>
        </w:rPr>
        <w:t xml:space="preserve">：</w:t>
      </w:r>
      <w:r>
        <w:rPr>
          <w:rFonts w:hint="eastAsia" w:ascii="宋体" w:hAnsi="宋体" w:eastAsia="宋体" w:cs="宋体"/>
          <w:highlight w:val="none"/>
          <w:u w:val="single"/>
          <w:lang w:val="en-US" w:eastAsia="zh-CN"/>
        </w:rPr>
        <w:t xml:space="preserve">30</w:t>
      </w:r>
      <w:r>
        <w:rPr>
          <w:rFonts w:hint="eastAsia" w:ascii="宋体" w:hAnsi="宋体" w:eastAsia="宋体" w:cs="宋体"/>
          <w:highlight w:val="none"/>
        </w:rPr>
        <w:t xml:space="preserve">日历天；质量保修期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两</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p>
    <w:p>
      <w:pPr>
        <w:pStyle w:val="695"/>
        <w:ind w:firstLine="480"/>
        <w:jc w:val="both"/>
        <w:pageBreakBefore w:val="0"/>
        <w:spacing w:beforeAutospacing="0" w:afterAutospacing="0" w:line="360" w:lineRule="auto"/>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质量标准：合格 </w:t>
      </w:r>
      <w:r/>
    </w:p>
    <w:p>
      <w:pPr>
        <w:pStyle w:val="695"/>
        <w:ind w:firstLine="480"/>
        <w:jc w:val="both"/>
        <w:pageBreakBefore w:val="0"/>
        <w:spacing w:beforeAutospacing="0" w:afterAutospacing="0" w:line="360" w:lineRule="auto"/>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9.项目地点(交货地点)：滨海县民兵训练基地</w:t>
      </w:r>
      <w:r>
        <w:rPr>
          <w:rFonts w:hint="eastAsia" w:ascii="宋体" w:hAnsi="宋体" w:eastAsia="宋体" w:cs="宋体"/>
          <w:shd w:val="clear" w:color="auto" w:fill="ffffff"/>
          <w:lang w:eastAsia="zh-CN"/>
        </w:rPr>
        <w:t xml:space="preserve">。</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10.本项目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bookmarkStart w:id="14" w:name="_Toc35393622"/>
      <w:r/>
      <w:bookmarkStart w:id="15" w:name="_Toc28359080"/>
      <w:r/>
      <w:bookmarkStart w:id="16" w:name="_Toc35393791"/>
      <w:r/>
      <w:bookmarkStart w:id="17" w:name="_Toc38985264"/>
      <w:r/>
      <w:bookmarkStart w:id="18" w:name="_Toc28359003"/>
      <w:r>
        <w:rPr>
          <w:rFonts w:hint="eastAsia" w:ascii="宋体" w:hAnsi="宋体" w:eastAsia="宋体" w:cs="宋体"/>
          <w:b/>
        </w:rPr>
        <w:t xml:space="preserve">二、申请人的资格要求：</w:t>
      </w:r>
      <w:bookmarkEnd w:id="14"/>
      <w:r/>
      <w:bookmarkEnd w:id="15"/>
      <w:r/>
      <w:bookmarkEnd w:id="16"/>
      <w:r/>
      <w:bookmarkEnd w:id="17"/>
      <w:r/>
      <w:bookmarkEnd w:id="18"/>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2.落实政府采购政策需满足的资格要求：</w:t>
      </w:r>
      <w:r/>
    </w:p>
    <w:p>
      <w:pPr>
        <w:pStyle w:val="695"/>
        <w:ind w:firstLine="480"/>
        <w:jc w:val="both"/>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项目给予小微型企业、监狱企业或残疾人福利性单位报价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号）。</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3.本项目的特定资格要求：本项目不接受联合体参与招标。</w:t>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bookmarkStart w:id="19" w:name="_Toc35393793"/>
      <w:r/>
      <w:bookmarkStart w:id="20" w:name="_Toc38985266"/>
      <w:r/>
      <w:bookmarkStart w:id="21" w:name="_Toc28359005"/>
      <w:r/>
      <w:bookmarkStart w:id="22" w:name="_Toc35393624"/>
      <w:r/>
      <w:bookmarkStart w:id="23" w:name="_Toc28359082"/>
      <w:r>
        <w:rPr>
          <w:rFonts w:hint="eastAsia" w:ascii="宋体" w:hAnsi="宋体" w:eastAsia="宋体" w:cs="宋体"/>
        </w:rPr>
        <w:t xml:space="preserve">1.时间：</w:t>
      </w:r>
      <w:bookmarkEnd w:id="19"/>
      <w:r/>
      <w:bookmarkEnd w:id="20"/>
      <w:r/>
      <w:bookmarkEnd w:id="21"/>
      <w:r/>
      <w:bookmarkEnd w:id="22"/>
      <w:r/>
      <w:bookmarkEnd w:id="23"/>
      <w:r>
        <w:rPr>
          <w:rFonts w:hint="eastAsia" w:ascii="宋体" w:hAnsi="宋体" w:eastAsia="宋体" w:cs="宋体"/>
        </w:rPr>
        <w:t xml:space="preserve">自招标文件公告发布之日起5个工作日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2.地点：“苏采云”系统内免费下载（投标人必须在苏采云系统中获取采购文件，方能参与政府采购项目）；</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4.售价：0元</w:t>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2025年12月</w:t>
      </w:r>
      <w:r>
        <w:rPr>
          <w:rFonts w:hint="eastAsia" w:ascii="宋体" w:hAnsi="宋体" w:eastAsia="宋体" w:cs="宋体"/>
          <w:u w:val="single"/>
          <w:lang w:val="en-US" w:eastAsia="zh-CN"/>
        </w:rPr>
        <w:t xml:space="preserve">23</w:t>
      </w:r>
      <w:r>
        <w:rPr>
          <w:rFonts w:hint="eastAsia" w:ascii="宋体" w:hAnsi="宋体" w:eastAsia="宋体" w:cs="宋体"/>
          <w:u w:val="single"/>
        </w:rPr>
        <w:t xml:space="preserve">日9时00分00秒</w:t>
      </w:r>
      <w:r>
        <w:rPr>
          <w:rFonts w:hint="eastAsia" w:ascii="宋体" w:hAnsi="宋体" w:eastAsia="宋体" w:cs="宋体"/>
        </w:rPr>
        <w:t xml:space="preserve">（北京时间）。</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2.地点：苏采云“不见面”开标大厅 。</w:t>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bookmarkStart w:id="24" w:name="_Toc28359007"/>
      <w:r/>
      <w:bookmarkStart w:id="25" w:name="_Toc35393625"/>
      <w:r/>
      <w:bookmarkStart w:id="26" w:name="_Toc38985267"/>
      <w:r/>
      <w:bookmarkStart w:id="27" w:name="_Toc28359084"/>
      <w:r/>
      <w:bookmarkStart w:id="28" w:name="_Toc35393794"/>
      <w:r>
        <w:rPr>
          <w:rFonts w:hint="eastAsia" w:ascii="宋体" w:hAnsi="宋体" w:eastAsia="宋体" w:cs="宋体"/>
          <w:b/>
        </w:rPr>
        <w:t xml:space="preserve">五、公告期限</w:t>
      </w:r>
      <w:bookmarkEnd w:id="24"/>
      <w:r/>
      <w:bookmarkEnd w:id="25"/>
      <w:r/>
      <w:bookmarkEnd w:id="26"/>
      <w:r/>
      <w:bookmarkEnd w:id="27"/>
      <w:r/>
      <w:bookmarkEnd w:id="28"/>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bookmarkStart w:id="29" w:name="_Toc35393795"/>
      <w:r/>
      <w:bookmarkStart w:id="30" w:name="_Toc35393626"/>
      <w:r/>
      <w:bookmarkStart w:id="31" w:name="_Toc38985268"/>
      <w:r>
        <w:rPr>
          <w:rFonts w:hint="eastAsia" w:ascii="宋体" w:hAnsi="宋体" w:eastAsia="宋体" w:cs="宋体"/>
          <w:shd w:val="clear" w:color="auto" w:fill="ffffff"/>
        </w:rPr>
        <w:t xml:space="preserve">自本公告发布之日起5个工作日。</w:t>
      </w:r>
      <w:bookmarkEnd w:id="29"/>
      <w:r/>
      <w:bookmarkEnd w:id="30"/>
      <w:r/>
      <w:bookmarkEnd w:id="31"/>
      <w:r/>
      <w:r/>
    </w:p>
    <w:p>
      <w:pPr>
        <w:pStyle w:val="695"/>
        <w:ind w:firstLine="498"/>
        <w:jc w:val="both"/>
        <w:keepLines/>
        <w:keepNext/>
        <w:pageBreakBefore w:val="0"/>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bookmarkStart w:id="32"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695"/>
        <w:ind w:firstLine="540"/>
        <w:jc w:val="both"/>
        <w:pageBreakBefore w:val="0"/>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eastAsia" w:ascii="宋体" w:hAnsi="宋体" w:eastAsia="宋体" w:cs="宋体"/>
          <w:shd w:val="clear" w:color="auto" w:fill="ffffff"/>
        </w:rPr>
      </w:pPr>
      <w:r>
        <w:rPr>
          <w:rFonts w:hint="eastAsia" w:ascii="宋体" w:hAnsi="宋体" w:eastAsia="宋体" w:cs="宋体"/>
          <w:sz w:val="24"/>
        </w:rPr>
        <w:t xml:space="preserve">如潜在投标人未按上述要求操作，将自行承担所产生的风险。</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3.有关本次招标的事项若存在变动或修改，敬请及时关注盐城市政府招标代理机构或招标人在“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663"/>
        <w:ind w:firstLine="480"/>
        <w:jc w:val="both"/>
        <w:pageBreakBefore w:val="0"/>
        <w:spacing w:beforeAutospacing="0" w:afterAutospacing="0" w:line="360" w:lineRule="auto"/>
        <w:shd w:val="clear" w:color="auto" w:fill="ffffff"/>
        <w:widowControl/>
        <w:rPr>
          <w:rFonts w:hint="eastAsia" w:cs="宋体"/>
          <w:b w:val="0"/>
          <w:bCs w:val="0"/>
          <w:sz w:val="24"/>
          <w:szCs w:val="24"/>
          <w:shd w:val="clear" w:color="auto" w:fill="ffffff"/>
        </w:rPr>
      </w:pPr>
      <w:r>
        <w:rPr>
          <w:rFonts w:hint="eastAsia" w:cs="宋体"/>
          <w:b w:val="0"/>
          <w:bCs w:val="0"/>
          <w:sz w:val="24"/>
          <w:szCs w:val="24"/>
          <w:shd w:val="clear" w:color="auto" w:fill="ffffff"/>
        </w:rPr>
        <w:t xml:space="preserve">4.本次招标不收取投标保证金，不收取质量保证金。</w:t>
      </w:r>
      <w:r/>
    </w:p>
    <w:p>
      <w:pPr>
        <w:pStyle w:val="663"/>
        <w:ind w:firstLine="480"/>
        <w:jc w:val="both"/>
        <w:pageBreakBefore w:val="0"/>
        <w:spacing w:beforeAutospacing="0" w:afterAutospacing="0" w:line="360" w:lineRule="auto"/>
        <w:shd w:val="clear" w:color="auto" w:fill="ffffff"/>
        <w:widowControl/>
        <w:rPr>
          <w:rFonts w:cs="宋体"/>
          <w:b/>
          <w:bCs/>
          <w:sz w:val="24"/>
          <w:szCs w:val="24"/>
        </w:rPr>
      </w:pPr>
      <w:r>
        <w:rPr>
          <w:rFonts w:cs="宋体"/>
          <w:b/>
          <w:bCs/>
          <w:sz w:val="24"/>
          <w:szCs w:val="24"/>
          <w:shd w:val="clear" w:color="auto" w:fill="ffffff"/>
        </w:rPr>
        <w:t xml:space="preserve">七、对本次招标提出询问，请按以下方式联系。</w:t>
      </w:r>
      <w:bookmarkEnd w:id="32"/>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称：滨海县退役军人事务局</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地址：</w:t>
      </w:r>
      <w:r>
        <w:rPr>
          <w:rFonts w:hint="eastAsia" w:ascii="宋体" w:hAnsi="宋体" w:eastAsia="宋体" w:cs="宋体"/>
          <w:color w:val="000000"/>
          <w:sz w:val="24"/>
          <w:szCs w:val="24"/>
          <w:highlight w:val="none"/>
          <w:shd w:val="clear" w:color="auto" w:fill="auto"/>
          <w:lang w:val="en-US" w:eastAsia="zh-CN"/>
        </w:rPr>
        <w:t xml:space="preserve">滨海县东坎街道中市路23号</w:t>
      </w:r>
      <w:r>
        <w:rPr>
          <w:rFonts w:hint="eastAsia" w:ascii="宋体" w:hAnsi="宋体" w:eastAsia="宋体" w:cs="宋体"/>
          <w:shd w:val="clear" w:color="auto" w:fill="ffffff"/>
        </w:rPr>
        <w:t xml:space="preserve"> </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联系人：王女士 、朱先生               </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联系方式：15161910112、13505102408             </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95"/>
        <w:ind w:firstLine="560"/>
        <w:jc w:val="both"/>
        <w:pageBreakBefore w:val="0"/>
        <w:spacing w:beforeAutospacing="0" w:afterAutospacing="0" w:line="360" w:lineRule="auto"/>
        <w:shd w:val="clear" w:color="auto" w:fill="ffffff"/>
        <w:widowControl/>
        <w:rPr>
          <w:rFonts w:hint="default" w:ascii="宋体" w:hAnsi="宋体" w:eastAsia="宋体" w:cs="宋体"/>
          <w:shd w:val="clear" w:color="auto" w:fill="ffffff"/>
          <w:lang w:val="en-US" w:eastAsia="zh-CN"/>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lang w:val="en-US" w:eastAsia="zh-CN"/>
        </w:rPr>
        <w:t xml:space="preserve">江苏雨田工程咨询集团有限公司</w:t>
      </w:r>
      <w:r/>
    </w:p>
    <w:p>
      <w:pPr>
        <w:pStyle w:val="695"/>
        <w:ind w:firstLine="560"/>
        <w:pageBreakBefore w:val="0"/>
        <w:spacing w:beforeAutospacing="0" w:afterAutospacing="0" w:line="360" w:lineRule="auto"/>
        <w:shd w:val="clear" w:color="auto" w:fill="ffffff"/>
        <w:widowControl/>
        <w:rPr>
          <w:rFonts w:hint="default" w:ascii="宋体" w:hAnsi="宋体" w:eastAsia="宋体" w:cs="宋体"/>
          <w:shd w:val="clear" w:color="auto" w:fill="ffffff"/>
          <w:lang w:val="en-US" w:eastAsia="zh-CN"/>
        </w:rPr>
      </w:pPr>
      <w:r>
        <w:rPr>
          <w:rFonts w:hint="eastAsia" w:ascii="宋体" w:hAnsi="宋体" w:eastAsia="宋体" w:cs="宋体"/>
          <w:shd w:val="clear" w:color="auto" w:fill="ffffff"/>
        </w:rPr>
        <w:t xml:space="preserve">地 址：滨海县</w:t>
      </w:r>
      <w:r>
        <w:rPr>
          <w:rFonts w:hint="eastAsia" w:ascii="宋体" w:hAnsi="宋体" w:eastAsia="宋体" w:cs="宋体"/>
          <w:shd w:val="clear" w:color="auto" w:fill="ffffff"/>
          <w:lang w:val="en-US" w:eastAsia="zh-CN"/>
        </w:rPr>
        <w:t xml:space="preserve">大学生创业园电谷A226室</w:t>
      </w:r>
      <w:r/>
    </w:p>
    <w:p>
      <w:pPr>
        <w:pStyle w:val="695"/>
        <w:ind w:firstLine="560"/>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lang w:val="en-US" w:eastAsia="zh-CN"/>
        </w:rPr>
        <w:t xml:space="preserve">王女士</w:t>
      </w:r>
      <w:r>
        <w:rPr>
          <w:rFonts w:hint="eastAsia" w:ascii="宋体" w:hAnsi="宋体" w:eastAsia="宋体" w:cs="宋体"/>
          <w:shd w:val="clear" w:color="auto" w:fill="ffffff"/>
        </w:rPr>
        <w:t xml:space="preserve">                     </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3" w:name="_Toc28359010"/>
      <w:r/>
      <w:bookmarkStart w:id="34" w:name="_Toc28359087"/>
      <w:r>
        <w:rPr>
          <w:rFonts w:hint="eastAsia" w:ascii="宋体" w:hAnsi="宋体" w:eastAsia="宋体" w:cs="宋体"/>
          <w:shd w:val="clear" w:color="auto" w:fill="ffffff"/>
          <w:lang w:val="en-US" w:eastAsia="zh-CN"/>
        </w:rPr>
        <w:t xml:space="preserve">13914632376</w:t>
      </w:r>
      <w:r>
        <w:rPr>
          <w:rFonts w:hint="eastAsia" w:ascii="宋体" w:hAnsi="宋体" w:eastAsia="宋体" w:cs="宋体"/>
          <w:shd w:val="clear" w:color="auto" w:fill="ffffff"/>
        </w:rPr>
        <w:t xml:space="preserve">       </w:t>
      </w:r>
      <w:bookmarkEnd w:id="33"/>
      <w:r/>
      <w:bookmarkEnd w:id="34"/>
      <w:r>
        <w:rPr>
          <w:rFonts w:hint="eastAsia" w:ascii="宋体" w:hAnsi="宋体" w:eastAsia="宋体" w:cs="宋体"/>
          <w:shd w:val="clear" w:color="auto" w:fill="ffffff"/>
        </w:rPr>
        <w:t xml:space="preserve">            </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bookmarkStart w:id="35" w:name="_Toc28359021"/>
      <w:r>
        <w:rPr>
          <w:rFonts w:hint="eastAsia" w:ascii="宋体" w:hAnsi="宋体" w:eastAsia="宋体" w:cs="宋体"/>
          <w:shd w:val="clear" w:color="auto" w:fill="ffffff"/>
        </w:rPr>
        <w:t xml:space="preserve">3.</w:t>
      </w:r>
      <w:bookmarkEnd w:id="35"/>
      <w:r>
        <w:rPr>
          <w:rFonts w:hint="eastAsia" w:ascii="宋体" w:hAnsi="宋体" w:eastAsia="宋体" w:cs="宋体"/>
          <w:shd w:val="clear" w:color="auto" w:fill="ffffff"/>
        </w:rPr>
        <w:t xml:space="preserve">项目联系方式</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项目联系人：王女士 、朱先生</w:t>
      </w:r>
      <w:r/>
    </w:p>
    <w:p>
      <w:pPr>
        <w:pStyle w:val="695"/>
        <w:ind w:firstLine="560"/>
        <w:jc w:val="both"/>
        <w:pageBreakBefore w:val="0"/>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　话：15161910112、13505102408 </w:t>
      </w:r>
      <w:r/>
    </w:p>
    <w:p>
      <w:pPr>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sz w:val="24"/>
        </w:rPr>
      </w:pPr>
      <w:r>
        <w:rPr>
          <w:rFonts w:hint="eastAsia" w:ascii="宋体" w:hAnsi="宋体" w:eastAsia="宋体" w:cs="宋体"/>
          <w:sz w:val="24"/>
        </w:rPr>
        <w:br w:type="page" w:clear="all"/>
      </w:r>
      <w:bookmarkStart w:id="36" w:name="_Toc120614211"/>
      <w:r/>
      <w:r/>
    </w:p>
    <w:p>
      <w:pPr>
        <w:pStyle w:val="69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6"/>
      <w:r/>
      <w:bookmarkStart w:id="37" w:name="_Toc513029202"/>
      <w:r/>
      <w:bookmarkStart w:id="38" w:name="_Toc16938518"/>
      <w:r/>
      <w:bookmarkStart w:id="39" w:name="_Toc20823274"/>
      <w:r/>
      <w:bookmarkStart w:id="40" w:name="_Toc120614213"/>
      <w:r>
        <w:rPr>
          <w:rFonts w:hint="eastAsia" w:ascii="黑体" w:hAnsi="宋体" w:eastAsia="黑体" w:cs="黑体"/>
          <w:b/>
          <w:sz w:val="44"/>
          <w:szCs w:val="44"/>
        </w:rPr>
        <w:t xml:space="preserve">投标人须知</w:t>
      </w:r>
      <w:bookmarkEnd w:id="37"/>
      <w:r/>
      <w:bookmarkEnd w:id="38"/>
      <w:r/>
      <w:bookmarkEnd w:id="39"/>
      <w:r/>
      <w:bookmarkEnd w:id="40"/>
      <w:r/>
      <w:r/>
    </w:p>
    <w:p>
      <w:pPr>
        <w:pStyle w:val="695"/>
        <w:ind w:firstLine="498"/>
        <w:jc w:val="both"/>
        <w:keepLines/>
        <w:keepNext/>
        <w:spacing w:before="145" w:beforeAutospacing="0" w:after="145" w:afterAutospacing="0" w:line="360" w:lineRule="auto"/>
        <w:rPr>
          <w:rFonts w:hint="eastAsia" w:ascii="宋体" w:hAnsi="宋体" w:eastAsia="宋体" w:cs="宋体"/>
        </w:rPr>
      </w:pPr>
      <w:r/>
      <w:bookmarkStart w:id="41" w:name="_Toc120614214"/>
      <w:r/>
      <w:bookmarkStart w:id="42" w:name="_Toc20823275"/>
      <w:r/>
      <w:bookmarkStart w:id="43" w:name="_Toc16938519"/>
      <w:r/>
      <w:bookmarkStart w:id="44" w:name="_Toc513029203"/>
      <w:r>
        <w:rPr>
          <w:rFonts w:hint="eastAsia" w:ascii="宋体" w:hAnsi="宋体" w:eastAsia="宋体" w:cs="宋体"/>
          <w:b/>
        </w:rPr>
        <w:t xml:space="preserve">一、总则</w:t>
      </w:r>
      <w:bookmarkEnd w:id="41"/>
      <w:r/>
      <w:bookmarkEnd w:id="42"/>
      <w:r/>
      <w:bookmarkEnd w:id="43"/>
      <w:r/>
      <w:bookmarkEnd w:id="44"/>
      <w:r/>
      <w:r/>
    </w:p>
    <w:p>
      <w:pPr>
        <w:pStyle w:val="695"/>
        <w:ind w:firstLine="420"/>
        <w:jc w:val="both"/>
        <w:keepLines/>
        <w:keepNext/>
        <w:pageBreakBefore w:val="0"/>
        <w:spacing w:beforeAutospacing="0" w:afterAutospacing="0" w:line="240" w:lineRule="auto"/>
        <w:widowControl w:val="off"/>
        <w:rPr>
          <w:rFonts w:hint="eastAsia" w:ascii="宋体" w:hAnsi="宋体" w:eastAsia="宋体" w:cs="宋体"/>
        </w:rPr>
      </w:pPr>
      <w:r/>
      <w:bookmarkStart w:id="45" w:name="_Toc20823276"/>
      <w:r/>
      <w:bookmarkStart w:id="46" w:name="_Toc513029204"/>
      <w:r/>
      <w:bookmarkStart w:id="47" w:name="_Toc458694821"/>
      <w:r/>
      <w:bookmarkStart w:id="48" w:name="_Toc16938520"/>
      <w:r/>
      <w:bookmarkStart w:id="49" w:name="_Hlt16619475"/>
      <w:r>
        <w:rPr>
          <w:rFonts w:hint="eastAsia" w:ascii="宋体" w:hAnsi="宋体" w:eastAsia="宋体" w:cs="宋体"/>
        </w:rPr>
        <w:t xml:space="preserve">1</w:t>
      </w:r>
      <w:bookmarkEnd w:id="45"/>
      <w:r>
        <w:rPr>
          <w:rFonts w:hint="eastAsia" w:ascii="宋体" w:hAnsi="宋体" w:eastAsia="宋体" w:cs="宋体"/>
        </w:rPr>
        <w:t xml:space="preserve">、招标方式</w:t>
      </w:r>
      <w:bookmarkEnd w:id="46"/>
      <w:r/>
      <w:bookmarkEnd w:id="47"/>
      <w:r/>
      <w:bookmarkEnd w:id="48"/>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95"/>
        <w:ind w:firstLine="420"/>
        <w:jc w:val="both"/>
        <w:keepLines/>
        <w:keepNext/>
        <w:pageBreakBefore w:val="0"/>
        <w:spacing w:beforeAutospacing="0" w:afterAutospacing="0" w:line="240" w:lineRule="auto"/>
        <w:widowControl w:val="off"/>
        <w:rPr>
          <w:rFonts w:hint="eastAsia" w:ascii="宋体" w:hAnsi="宋体" w:eastAsia="宋体" w:cs="宋体"/>
        </w:rPr>
      </w:pPr>
      <w:r/>
      <w:bookmarkStart w:id="50" w:name="_Toc20823277"/>
      <w:r/>
      <w:bookmarkStart w:id="51" w:name="_Toc16938521"/>
      <w:r/>
      <w:bookmarkStart w:id="52" w:name="_Toc513029205"/>
      <w:r>
        <w:rPr>
          <w:rFonts w:hint="eastAsia" w:ascii="宋体" w:hAnsi="宋体" w:eastAsia="宋体" w:cs="宋体"/>
        </w:rPr>
        <w:t xml:space="preserve">2、合格的投标人</w:t>
      </w:r>
      <w:bookmarkEnd w:id="50"/>
      <w:r/>
      <w:bookmarkEnd w:id="51"/>
      <w:r/>
      <w:bookmarkEnd w:id="52"/>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2.2 满足本文件实质性要求和条件的规定。</w:t>
      </w:r>
      <w:r/>
    </w:p>
    <w:p>
      <w:pPr>
        <w:pStyle w:val="695"/>
        <w:ind w:firstLine="420"/>
        <w:jc w:val="both"/>
        <w:keepLines/>
        <w:keepNext/>
        <w:pageBreakBefore w:val="0"/>
        <w:spacing w:beforeAutospacing="0" w:afterAutospacing="0" w:line="240" w:lineRule="auto"/>
        <w:widowControl w:val="off"/>
        <w:rPr>
          <w:rFonts w:hint="eastAsia" w:ascii="宋体" w:hAnsi="宋体" w:eastAsia="宋体" w:cs="宋体"/>
        </w:rPr>
      </w:pPr>
      <w:r/>
      <w:bookmarkStart w:id="53" w:name="_Toc513029206"/>
      <w:r/>
      <w:bookmarkStart w:id="54" w:name="_Toc16938522"/>
      <w:r/>
      <w:bookmarkStart w:id="55" w:name="_Toc20823278"/>
      <w:r>
        <w:rPr>
          <w:rFonts w:hint="eastAsia" w:ascii="宋体" w:hAnsi="宋体" w:eastAsia="宋体" w:cs="宋体"/>
        </w:rPr>
        <w:t xml:space="preserve">3、适用法律</w:t>
      </w:r>
      <w:bookmarkEnd w:id="53"/>
      <w:r/>
      <w:bookmarkEnd w:id="54"/>
      <w:r/>
      <w:bookmarkEnd w:id="55"/>
      <w:r/>
      <w:r/>
    </w:p>
    <w:p>
      <w:pPr>
        <w:pStyle w:val="695"/>
        <w:ind w:firstLine="42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95"/>
        <w:ind w:firstLine="420"/>
        <w:jc w:val="both"/>
        <w:keepLines/>
        <w:keepNext/>
        <w:pageBreakBefore w:val="0"/>
        <w:spacing w:beforeAutospacing="0" w:afterAutospacing="0" w:line="240" w:lineRule="auto"/>
        <w:widowControl w:val="off"/>
        <w:rPr>
          <w:rFonts w:hint="eastAsia" w:ascii="宋体" w:hAnsi="宋体" w:eastAsia="宋体" w:cs="宋体"/>
        </w:rPr>
      </w:pPr>
      <w:r/>
      <w:bookmarkStart w:id="56" w:name="_Toc20823279"/>
      <w:r/>
      <w:bookmarkStart w:id="57" w:name="_Toc16938523"/>
      <w:r/>
      <w:bookmarkStart w:id="58" w:name="_Toc462564067"/>
      <w:r/>
      <w:bookmarkStart w:id="59" w:name="_Toc513029207"/>
      <w:r>
        <w:rPr>
          <w:rFonts w:hint="eastAsia" w:ascii="宋体" w:hAnsi="宋体" w:eastAsia="宋体" w:cs="宋体"/>
        </w:rPr>
        <w:t xml:space="preserve">4、投标费用</w:t>
      </w:r>
      <w:bookmarkEnd w:id="56"/>
      <w:r/>
      <w:bookmarkEnd w:id="57"/>
      <w:r/>
      <w:bookmarkEnd w:id="58"/>
      <w:r/>
      <w:bookmarkEnd w:id="59"/>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投标人应自行承担所有与参加投标有关的费用，无论投标过程中的做法和结果如何，招标人及招标代理机构在任何情况下均无义务和责任承担这些费用。</w:t>
      </w:r>
      <w:r/>
    </w:p>
    <w:p>
      <w:pPr>
        <w:pStyle w:val="695"/>
        <w:ind w:firstLine="480"/>
        <w:jc w:val="both"/>
        <w:pageBreakBefore w:val="0"/>
        <w:spacing w:beforeAutospacing="0" w:afterAutospacing="0" w:line="240" w:lineRule="auto"/>
        <w:widowControl w:val="off"/>
        <w:rPr>
          <w:rFonts w:hint="eastAsia" w:asciiTheme="minorEastAsia" w:hAnsiTheme="minorEastAsia"/>
        </w:rPr>
      </w:pPr>
      <w:r>
        <w:rPr>
          <w:rFonts w:hint="eastAsia" w:ascii="宋体" w:hAnsi="宋体" w:eastAsia="宋体" w:cs="宋体"/>
        </w:rPr>
        <w:t xml:space="preserve">4.</w:t>
      </w:r>
      <w:r>
        <w:rPr>
          <w:rFonts w:hint="eastAsia" w:ascii="宋体" w:hAnsi="宋体" w:eastAsia="宋体" w:cs="宋体"/>
          <w:lang w:val="en-US" w:eastAsia="zh-CN"/>
        </w:rPr>
        <w:t xml:space="preserve">2</w:t>
      </w:r>
      <w:r>
        <w:rPr>
          <w:rFonts w:hint="eastAsia" w:ascii="宋体" w:hAnsi="宋体" w:eastAsia="宋体" w:cs="宋体"/>
        </w:rPr>
        <w:t xml:space="preserve"> </w:t>
      </w:r>
      <w:r>
        <w:rPr>
          <w:rFonts w:hint="eastAsia" w:cs="宋体" w:asciiTheme="minorEastAsia" w:hAnsiTheme="minorEastAsia"/>
        </w:rPr>
        <w:t xml:space="preserve">本项目招标代理服务费依据《江苏省政府采购代理服务收费指导意见》的通知（苏政采〔2024〕20号）执行，</w:t>
      </w:r>
      <w:r>
        <w:rPr>
          <w:rFonts w:hint="eastAsia" w:asciiTheme="minorEastAsia" w:hAnsiTheme="minorEastAsia"/>
        </w:rPr>
        <w:t xml:space="preserve">招标人约定由中标人向招标代理机构一次性支付招标代理服务费人民币</w:t>
      </w:r>
      <w:r>
        <w:rPr>
          <w:rFonts w:hint="eastAsia" w:eastAsia="宋体" w:asciiTheme="minorEastAsia" w:hAnsiTheme="minorEastAsia"/>
          <w:u w:val="single"/>
          <w:lang w:val="en-US" w:eastAsia="zh-CN"/>
        </w:rPr>
        <w:t xml:space="preserve">20000</w:t>
      </w:r>
      <w:r>
        <w:rPr>
          <w:rFonts w:hint="eastAsia" w:asciiTheme="minorEastAsia" w:hAnsiTheme="minorEastAsia"/>
        </w:rPr>
        <w:t xml:space="preserve">元，投标人须将此费用纳入投标报价中，招标人不另行支付。</w:t>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r>
      <w:r/>
    </w:p>
    <w:p>
      <w:pPr>
        <w:pStyle w:val="695"/>
        <w:ind w:firstLine="602"/>
        <w:jc w:val="both"/>
        <w:keepLines/>
        <w:keepNext/>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695"/>
        <w:ind w:firstLine="321"/>
        <w:jc w:val="both"/>
        <w:keepLines/>
        <w:keepNext/>
        <w:pageBreakBefore w:val="0"/>
        <w:spacing w:before="145" w:beforeAutospacing="0" w:after="145" w:afterAutospacing="0" w:line="240" w:lineRule="auto"/>
        <w:widowControl w:val="off"/>
        <w:rPr>
          <w:rFonts w:hint="eastAsia" w:ascii="宋体" w:hAnsi="宋体" w:eastAsia="宋体" w:cs="宋体"/>
        </w:rPr>
      </w:pPr>
      <w:r/>
      <w:bookmarkStart w:id="60" w:name="_Toc20823281"/>
      <w:r/>
      <w:bookmarkStart w:id="61" w:name="_Toc16938525"/>
      <w:r/>
      <w:bookmarkStart w:id="62" w:name="_Toc513029209"/>
      <w:r/>
      <w:bookmarkStart w:id="63" w:name="_Toc120614215"/>
      <w:r>
        <w:rPr>
          <w:rFonts w:hint="eastAsia" w:ascii="宋体" w:hAnsi="宋体" w:eastAsia="宋体" w:cs="宋体"/>
          <w:b/>
        </w:rPr>
        <w:t xml:space="preserve">二、招标文件</w:t>
      </w:r>
      <w:bookmarkEnd w:id="60"/>
      <w:r/>
      <w:bookmarkEnd w:id="61"/>
      <w:r/>
      <w:bookmarkEnd w:id="62"/>
      <w:r/>
      <w:bookmarkEnd w:id="63"/>
      <w:r/>
      <w:r/>
    </w:p>
    <w:p>
      <w:pPr>
        <w:pStyle w:val="695"/>
        <w:ind w:firstLine="420"/>
        <w:jc w:val="both"/>
        <w:keepLines/>
        <w:keepNext/>
        <w:pageBreakBefore w:val="0"/>
        <w:spacing w:beforeAutospacing="0" w:afterAutospacing="0" w:line="240" w:lineRule="auto"/>
        <w:widowControl w:val="off"/>
        <w:rPr>
          <w:rFonts w:hint="eastAsia" w:ascii="宋体" w:hAnsi="宋体" w:eastAsia="宋体" w:cs="宋体"/>
        </w:rPr>
      </w:pPr>
      <w:r/>
      <w:bookmarkStart w:id="64" w:name="_Toc513029210"/>
      <w:r/>
      <w:bookmarkStart w:id="65" w:name="_Toc16938526"/>
      <w:r/>
      <w:bookmarkStart w:id="66" w:name="_Toc20823282"/>
      <w:r>
        <w:rPr>
          <w:rFonts w:hint="eastAsia" w:ascii="宋体" w:hAnsi="宋体" w:eastAsia="宋体" w:cs="宋体"/>
        </w:rPr>
        <w:t xml:space="preserve">6、招标文件构成</w:t>
      </w:r>
      <w:bookmarkEnd w:id="64"/>
      <w:r/>
      <w:bookmarkEnd w:id="65"/>
      <w:r/>
      <w:bookmarkEnd w:id="66"/>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6.1 招标文件由以下部分组成：</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（1）招标公告</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（2）投标人须知</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（3）合同文本</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（4）采购需求</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（5）评标方法与评标标准</w:t>
      </w:r>
      <w:r/>
    </w:p>
    <w:p>
      <w:pPr>
        <w:pStyle w:val="695"/>
        <w:ind w:firstLine="36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（6）投标文件格式</w:t>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560"/>
        <w:jc w:val="both"/>
        <w:keepLines/>
        <w:keepNext/>
        <w:pageBreakBefore w:val="0"/>
        <w:spacing w:beforeAutospacing="0" w:afterAutospacing="0" w:line="240" w:lineRule="auto"/>
        <w:widowControl w:val="off"/>
        <w:rPr>
          <w:rFonts w:hint="eastAsia" w:ascii="宋体" w:hAnsi="宋体" w:eastAsia="宋体" w:cs="宋体"/>
        </w:rPr>
      </w:pPr>
      <w:r/>
      <w:bookmarkStart w:id="67" w:name="_Toc513029211"/>
      <w:r/>
      <w:bookmarkStart w:id="68" w:name="_Toc462564070"/>
      <w:r/>
      <w:bookmarkStart w:id="69" w:name="_Toc16938527"/>
      <w:r/>
      <w:bookmarkStart w:id="70" w:name="_Toc20823283"/>
      <w:r>
        <w:rPr>
          <w:rFonts w:hint="eastAsia" w:ascii="宋体" w:hAnsi="宋体" w:eastAsia="宋体" w:cs="宋体"/>
        </w:rPr>
        <w:t xml:space="preserve">7、招标文件的澄清</w:t>
      </w:r>
      <w:bookmarkEnd w:id="67"/>
      <w:r/>
      <w:bookmarkEnd w:id="68"/>
      <w:r/>
      <w:bookmarkEnd w:id="69"/>
      <w:r/>
      <w:bookmarkEnd w:id="70"/>
      <w:r/>
      <w:r/>
    </w:p>
    <w:p>
      <w:pPr>
        <w:pStyle w:val="695"/>
        <w:ind w:firstLine="480"/>
        <w:jc w:val="both"/>
        <w:pageBreakBefore w:val="0"/>
        <w:spacing w:beforeAutospacing="0" w:afterAutospacing="0" w:line="240" w:lineRule="auto"/>
        <w:widowControl w:val="off"/>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前按招标公告中的通讯地址，以书面形式通知招标代理机构或招标人。</w:t>
      </w:r>
      <w:r/>
    </w:p>
    <w:p>
      <w:pPr>
        <w:pStyle w:val="695"/>
        <w:ind w:firstLine="560"/>
        <w:jc w:val="both"/>
        <w:keepLines/>
        <w:keepNext/>
        <w:spacing w:beforeAutospacing="0" w:afterAutospacing="0"/>
        <w:rPr>
          <w:rFonts w:hint="eastAsia" w:ascii="宋体" w:hAnsi="宋体" w:eastAsia="宋体" w:cs="宋体"/>
        </w:rPr>
      </w:pPr>
      <w:r/>
      <w:bookmarkStart w:id="71" w:name="_Toc16938528"/>
      <w:r/>
      <w:bookmarkStart w:id="72" w:name="_Toc513029212"/>
      <w:r/>
      <w:bookmarkStart w:id="73" w:name="_Toc462564071"/>
      <w:r/>
      <w:bookmarkStart w:id="74" w:name="_Toc20823284"/>
      <w:r>
        <w:rPr>
          <w:rFonts w:hint="eastAsia" w:ascii="宋体" w:hAnsi="宋体" w:eastAsia="宋体" w:cs="宋体"/>
        </w:rPr>
        <w:t xml:space="preserve">8、招标文件的修改</w:t>
      </w:r>
      <w:bookmarkEnd w:id="71"/>
      <w:r/>
      <w:bookmarkEnd w:id="72"/>
      <w:r/>
      <w:bookmarkEnd w:id="73"/>
      <w:r/>
      <w:bookmarkEnd w:id="74"/>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在投标截止时间前，招标代理机构或招标人可以对招标文件进行修改。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招标代理机构或招标人有权按照法定的要求推迟投标截止日期和开标日期。</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75" w:name="_Toc120614216"/>
      <w:r/>
      <w:bookmarkStart w:id="76" w:name="_Toc513029213"/>
      <w:r/>
      <w:bookmarkStart w:id="77" w:name="_Toc20823285"/>
      <w:r/>
      <w:bookmarkStart w:id="78" w:name="_Toc462564072"/>
      <w:r/>
      <w:bookmarkStart w:id="79" w:name="_Toc16938529"/>
      <w:r>
        <w:rPr>
          <w:rFonts w:hint="eastAsia" w:ascii="宋体" w:hAnsi="宋体" w:eastAsia="宋体" w:cs="宋体"/>
          <w:b/>
        </w:rPr>
        <w:t xml:space="preserve">三、投标文件的编制</w:t>
      </w:r>
      <w:bookmarkEnd w:id="75"/>
      <w:r/>
      <w:bookmarkEnd w:id="76"/>
      <w:r/>
      <w:bookmarkEnd w:id="77"/>
      <w:r/>
      <w:bookmarkEnd w:id="78"/>
      <w:r/>
      <w:bookmarkEnd w:id="79"/>
      <w:r/>
      <w:r/>
    </w:p>
    <w:p>
      <w:pPr>
        <w:pStyle w:val="695"/>
        <w:ind w:firstLine="560"/>
        <w:jc w:val="both"/>
        <w:keepLines/>
        <w:keepNext/>
        <w:spacing w:beforeAutospacing="0" w:afterAutospacing="0"/>
        <w:rPr>
          <w:rFonts w:hint="eastAsia" w:ascii="宋体" w:hAnsi="宋体" w:eastAsia="宋体" w:cs="宋体"/>
        </w:rPr>
      </w:pPr>
      <w:r/>
      <w:bookmarkStart w:id="80" w:name="_Toc513029214"/>
      <w:r/>
      <w:bookmarkStart w:id="81" w:name="_Toc16938530"/>
      <w:r/>
      <w:bookmarkStart w:id="82" w:name="_Toc462564073"/>
      <w:r/>
      <w:bookmarkStart w:id="83" w:name="_Toc20823286"/>
      <w:r>
        <w:rPr>
          <w:rFonts w:hint="eastAsia" w:ascii="宋体" w:hAnsi="宋体" w:eastAsia="宋体" w:cs="宋体"/>
        </w:rPr>
        <w:t xml:space="preserve">9、投标文件的语言及度量衡单位</w:t>
      </w:r>
      <w:bookmarkEnd w:id="80"/>
      <w:r/>
      <w:bookmarkEnd w:id="81"/>
      <w:r/>
      <w:bookmarkEnd w:id="82"/>
      <w:r/>
      <w:bookmarkEnd w:id="83"/>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投标人提交的投标文件以及投标人与招标代理机构或招标人就有关投标的所有来往通知、函件和文件均应使用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695"/>
        <w:ind w:firstLine="420"/>
        <w:jc w:val="both"/>
        <w:keepLines/>
        <w:keepNext/>
        <w:spacing w:beforeAutospacing="0" w:afterAutospacing="0"/>
        <w:rPr>
          <w:rFonts w:hint="eastAsia" w:ascii="宋体" w:hAnsi="宋体" w:eastAsia="宋体" w:cs="宋体"/>
        </w:rPr>
      </w:pPr>
      <w:r/>
      <w:bookmarkStart w:id="84" w:name="_Toc20823287"/>
      <w:r/>
      <w:bookmarkStart w:id="85" w:name="_Toc16938531"/>
      <w:r/>
      <w:bookmarkStart w:id="86" w:name="_Toc513029215"/>
      <w:r/>
      <w:bookmarkStart w:id="87" w:name="_Toc462564074"/>
      <w:r>
        <w:rPr>
          <w:rFonts w:hint="eastAsia" w:ascii="宋体" w:hAnsi="宋体" w:eastAsia="宋体" w:cs="宋体"/>
        </w:rPr>
        <w:t xml:space="preserve">10、投标文件构成</w:t>
      </w:r>
      <w:bookmarkEnd w:id="84"/>
      <w:r/>
      <w:bookmarkEnd w:id="85"/>
      <w:r/>
      <w:bookmarkEnd w:id="86"/>
      <w:r/>
      <w:bookmarkEnd w:id="87"/>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5"/>
        <w:ind w:firstLine="420"/>
        <w:jc w:val="both"/>
        <w:keepLines/>
        <w:keepNext/>
        <w:spacing w:beforeAutospacing="0" w:afterAutospacing="0"/>
        <w:rPr>
          <w:rFonts w:hint="eastAsia" w:ascii="宋体" w:hAnsi="宋体" w:eastAsia="宋体" w:cs="宋体"/>
        </w:rPr>
      </w:pPr>
      <w:r/>
      <w:bookmarkStart w:id="88" w:name="_Toc513029216"/>
      <w:r/>
      <w:bookmarkStart w:id="89" w:name="_Toc14577354"/>
      <w:r/>
      <w:bookmarkStart w:id="90" w:name="_Toc513029219"/>
      <w:r/>
      <w:bookmarkStart w:id="91" w:name="_Toc49090509"/>
      <w:r/>
      <w:bookmarkStart w:id="92" w:name="_Toc14577355"/>
      <w:r/>
      <w:bookmarkStart w:id="93" w:name="_Toc49090507"/>
      <w:r/>
      <w:bookmarkStart w:id="94" w:name="_Toc14577357"/>
      <w:r/>
      <w:bookmarkStart w:id="95" w:name="_Toc49090508"/>
      <w:r/>
      <w:bookmarkStart w:id="96" w:name="_Hlt26670360"/>
      <w:r/>
      <w:bookmarkStart w:id="97" w:name="_Hlt26954838"/>
      <w:r/>
      <w:bookmarkStart w:id="98" w:name="_Hlt26668975"/>
      <w:r>
        <w:rPr>
          <w:rFonts w:hint="eastAsia" w:ascii="宋体" w:hAnsi="宋体" w:eastAsia="宋体" w:cs="宋体"/>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5"/>
        <w:ind w:firstLine="420"/>
        <w:jc w:val="both"/>
        <w:keepLines/>
        <w:keepNext/>
        <w:spacing w:beforeAutospacing="0" w:afterAutospacing="0"/>
        <w:rPr>
          <w:rFonts w:hint="eastAsia" w:ascii="宋体" w:hAnsi="宋体" w:eastAsia="宋体" w:cs="宋体"/>
        </w:rPr>
      </w:pPr>
      <w:r/>
      <w:bookmarkStart w:id="99" w:name="_Hlt26954846"/>
      <w:r/>
      <w:bookmarkStart w:id="100" w:name="_Hlt26954731"/>
      <w:r/>
      <w:bookmarkStart w:id="101" w:name="_Hlt26670482"/>
      <w:r/>
      <w:bookmarkStart w:id="102" w:name="_Hlt26954848"/>
      <w:r/>
      <w:bookmarkStart w:id="103" w:name="_Hlt26670486"/>
      <w:r>
        <w:rPr>
          <w:rFonts w:hint="eastAsia" w:ascii="宋体" w:hAnsi="宋体" w:eastAsia="宋体" w:cs="宋体"/>
        </w:rPr>
        <w:t xml:space="preserve">13、技术要求响应及偏离表、商务要求响应及偏离表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w:t>
      </w:r>
      <w:r>
        <w:rPr>
          <w:rFonts w:hint="eastAsia" w:ascii="宋体" w:hAnsi="宋体" w:eastAsia="宋体" w:cs="宋体"/>
          <w:lang w:val="en-US" w:eastAsia="zh-CN"/>
        </w:rPr>
        <w:t xml:space="preserve"> </w:t>
      </w:r>
      <w:r>
        <w:rPr>
          <w:rFonts w:hint="eastAsia" w:ascii="宋体" w:hAnsi="宋体" w:eastAsia="宋体" w:cs="宋体"/>
        </w:rPr>
        <w:t xml:space="preserve">投标人需根据招标文件要求提供所投标的的主要组成部分、功能设计、实现思路及关键技术等。</w:t>
      </w:r>
      <w:r/>
    </w:p>
    <w:p>
      <w:pPr>
        <w:pStyle w:val="695"/>
        <w:ind w:firstLine="420"/>
        <w:jc w:val="both"/>
        <w:keepLines/>
        <w:keepNext/>
        <w:spacing w:beforeAutospacing="0" w:afterAutospacing="0"/>
        <w:rPr>
          <w:rFonts w:hint="eastAsia" w:ascii="宋体" w:hAnsi="宋体" w:eastAsia="宋体" w:cs="宋体"/>
        </w:rPr>
      </w:pPr>
      <w:r/>
      <w:bookmarkStart w:id="104" w:name="_Toc14577359"/>
      <w:r/>
      <w:bookmarkStart w:id="105" w:name="_Toc49090510"/>
      <w:r>
        <w:rPr>
          <w:rFonts w:hint="eastAsia" w:ascii="宋体" w:hAnsi="宋体" w:eastAsia="宋体" w:cs="宋体"/>
        </w:rPr>
        <w:t xml:space="preserve">15、投标函和开标一览表</w:t>
      </w:r>
      <w:bookmarkEnd w:id="104"/>
      <w:r/>
      <w:bookmarkEnd w:id="105"/>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95"/>
        <w:ind w:firstLine="420"/>
        <w:jc w:val="both"/>
        <w:keepLines/>
        <w:keepNext/>
        <w:spacing w:beforeAutospacing="0" w:afterAutospacing="0"/>
        <w:rPr>
          <w:rFonts w:hint="eastAsia" w:ascii="宋体" w:hAnsi="宋体" w:eastAsia="宋体" w:cs="宋体"/>
        </w:rPr>
      </w:pPr>
      <w:r/>
      <w:bookmarkStart w:id="106" w:name="_Toc49090511"/>
      <w:r/>
      <w:bookmarkStart w:id="107" w:name="_Toc14577360"/>
      <w:r>
        <w:rPr>
          <w:rFonts w:hint="eastAsia" w:ascii="宋体" w:hAnsi="宋体" w:eastAsia="宋体" w:cs="宋体"/>
        </w:rPr>
        <w:t xml:space="preserve">16、投标有效期</w:t>
      </w:r>
      <w:bookmarkEnd w:id="106"/>
      <w:r/>
      <w:bookmarkEnd w:id="107"/>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招标代理机构或招标人于原投标有效期满之前，可向投标人提出延长投标有效期的要求。这种要求与答复均应采用书面形式。投标人可以拒绝招标代理机构或招标人的这一要求而放弃投标，同意延长投标有效期的投标人既不能要求也不允许修改其投标文件。受投标有效期约束的所有权利与义务均延长至新的有效期。</w:t>
      </w:r>
      <w:r/>
    </w:p>
    <w:p>
      <w:pPr>
        <w:pStyle w:val="695"/>
        <w:jc w:val="both"/>
        <w:keepLines/>
        <w:keepNext/>
        <w:spacing w:before="145" w:beforeAutospacing="0" w:after="145" w:afterAutospacing="0" w:line="360" w:lineRule="auto"/>
        <w:rPr>
          <w:rFonts w:hint="eastAsia" w:ascii="宋体" w:hAnsi="宋体" w:eastAsia="宋体" w:cs="宋体"/>
        </w:rPr>
      </w:pPr>
      <w:r/>
      <w:bookmarkStart w:id="108" w:name="_Toc513029224"/>
      <w:r/>
      <w:bookmarkStart w:id="109" w:name="_Toc20823296"/>
      <w:r/>
      <w:bookmarkStart w:id="110" w:name="_Toc120614217"/>
      <w:r/>
      <w:bookmarkStart w:id="111" w:name="_Toc16938540"/>
      <w:r/>
      <w:bookmarkStart w:id="112" w:name="_Hlt26954739"/>
      <w:r/>
      <w:bookmarkStart w:id="113" w:name="_Hlt26954852"/>
      <w:r>
        <w:rPr>
          <w:rFonts w:hint="eastAsia" w:ascii="宋体" w:hAnsi="宋体" w:eastAsia="宋体" w:cs="宋体"/>
          <w:b/>
        </w:rPr>
        <w:t xml:space="preserve">四、投标文件的递交</w:t>
      </w:r>
      <w:bookmarkEnd w:id="108"/>
      <w:r/>
      <w:bookmarkEnd w:id="109"/>
      <w:r/>
      <w:bookmarkEnd w:id="110"/>
      <w:r/>
      <w:bookmarkEnd w:id="111"/>
      <w:r/>
      <w:r/>
    </w:p>
    <w:p>
      <w:pPr>
        <w:pStyle w:val="695"/>
        <w:ind w:firstLine="420"/>
        <w:jc w:val="both"/>
        <w:keepLines/>
        <w:keepNext/>
        <w:spacing w:beforeAutospacing="0" w:afterAutospacing="0"/>
        <w:rPr>
          <w:rFonts w:hint="eastAsia" w:ascii="宋体" w:hAnsi="宋体" w:eastAsia="宋体" w:cs="宋体"/>
        </w:rPr>
      </w:pPr>
      <w:r/>
      <w:bookmarkStart w:id="114" w:name="_Toc20823297"/>
      <w:r/>
      <w:bookmarkStart w:id="115" w:name="_Toc16938541"/>
      <w:r/>
      <w:bookmarkStart w:id="116" w:name="_Toc513029225"/>
      <w:r/>
      <w:bookmarkStart w:id="117" w:name="_Toc462564084"/>
      <w:r>
        <w:rPr>
          <w:rFonts w:hint="eastAsia" w:ascii="宋体" w:hAnsi="宋体" w:eastAsia="宋体" w:cs="宋体"/>
        </w:rPr>
        <w:t xml:space="preserve">18、电子投标文件</w:t>
      </w:r>
      <w:bookmarkEnd w:id="114"/>
      <w:r/>
      <w:bookmarkEnd w:id="115"/>
      <w:r/>
      <w:bookmarkEnd w:id="116"/>
      <w:r/>
      <w:bookmarkEnd w:id="117"/>
      <w:r>
        <w:rPr>
          <w:rFonts w:hint="eastAsia" w:ascii="宋体" w:hAnsi="宋体" w:eastAsia="宋体" w:cs="宋体"/>
        </w:rPr>
        <w:t xml:space="preserve">的递交</w:t>
      </w:r>
      <w:r/>
    </w:p>
    <w:p>
      <w:pPr>
        <w:pStyle w:val="695"/>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8" w:name="_Toc20823298"/>
      <w:r/>
      <w:bookmarkEnd w:id="118"/>
      <w:r/>
      <w:bookmarkStart w:id="119" w:name="_Toc16938542"/>
      <w:r/>
      <w:bookmarkEnd w:id="119"/>
      <w:r/>
      <w:bookmarkStart w:id="120" w:name="_Toc513029226"/>
      <w:r/>
      <w:r/>
    </w:p>
    <w:p>
      <w:pPr>
        <w:pStyle w:val="695"/>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招标代理机构或招标人可以按照规定，通过修改招标文件酌情延长投标截止日期，在此情况下，投标人的所有权利和义务以及投标人受制的截止日期均应以延长后新的截止日期为准。</w:t>
      </w:r>
      <w:r/>
    </w:p>
    <w:p>
      <w:pPr>
        <w:pStyle w:val="695"/>
        <w:ind w:firstLine="420"/>
        <w:jc w:val="both"/>
        <w:keepLines/>
        <w:keepNext/>
        <w:spacing w:beforeAutospacing="0" w:afterAutospacing="0"/>
        <w:rPr>
          <w:rFonts w:hint="eastAsia" w:ascii="宋体" w:hAnsi="宋体" w:eastAsia="宋体" w:cs="宋体"/>
        </w:rPr>
      </w:pPr>
      <w:r/>
      <w:bookmarkStart w:id="121" w:name="_Toc513029227"/>
      <w:r/>
      <w:bookmarkStart w:id="122" w:name="_Toc20823299"/>
      <w:r/>
      <w:bookmarkStart w:id="123" w:name="_Toc16938543"/>
      <w:r>
        <w:rPr>
          <w:rFonts w:hint="eastAsia" w:ascii="宋体" w:hAnsi="宋体" w:eastAsia="宋体" w:cs="宋体"/>
        </w:rPr>
        <w:t xml:space="preserve">20、投标文件</w:t>
      </w:r>
      <w:bookmarkEnd w:id="121"/>
      <w:r/>
      <w:bookmarkEnd w:id="122"/>
      <w:r/>
      <w:bookmarkEnd w:id="123"/>
      <w:r>
        <w:rPr>
          <w:rFonts w:hint="eastAsia" w:ascii="宋体" w:hAnsi="宋体" w:eastAsia="宋体" w:cs="宋体"/>
        </w:rPr>
        <w:t xml:space="preserve">的拒收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招标代理机构或招标人拒绝接收在其规定的投标截止时间后上传的任何投标文件。</w:t>
      </w:r>
      <w:r/>
    </w:p>
    <w:p>
      <w:pPr>
        <w:pStyle w:val="695"/>
        <w:ind w:firstLine="420"/>
        <w:jc w:val="both"/>
        <w:keepLines/>
        <w:keepNext/>
        <w:spacing w:beforeAutospacing="0" w:afterAutospacing="0"/>
        <w:rPr>
          <w:rFonts w:hint="eastAsia" w:ascii="宋体" w:hAnsi="宋体" w:eastAsia="宋体" w:cs="宋体"/>
        </w:rPr>
      </w:pPr>
      <w:r/>
      <w:bookmarkStart w:id="124" w:name="_Toc20823300"/>
      <w:r/>
      <w:bookmarkStart w:id="125" w:name="_Toc16938544"/>
      <w:r/>
      <w:bookmarkStart w:id="126" w:name="_Toc513029228"/>
      <w:r>
        <w:rPr>
          <w:rFonts w:hint="eastAsia" w:ascii="宋体" w:hAnsi="宋体" w:eastAsia="宋体" w:cs="宋体"/>
        </w:rPr>
        <w:t xml:space="preserve">21、投标文件的撤回和修改</w:t>
      </w:r>
      <w:bookmarkEnd w:id="124"/>
      <w:r/>
      <w:bookmarkEnd w:id="125"/>
      <w:r/>
      <w:bookmarkEnd w:id="126"/>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127" w:name="_Toc513029229"/>
      <w:r/>
      <w:bookmarkStart w:id="128" w:name="_Toc120614218"/>
      <w:r/>
      <w:bookmarkStart w:id="129" w:name="_Toc20823301"/>
      <w:r/>
      <w:bookmarkStart w:id="130" w:name="_Toc16938545"/>
      <w:r>
        <w:rPr>
          <w:rFonts w:hint="eastAsia" w:ascii="宋体" w:hAnsi="宋体" w:eastAsia="宋体" w:cs="宋体"/>
          <w:b/>
        </w:rPr>
        <w:t xml:space="preserve">五、开标与评标</w:t>
      </w:r>
      <w:bookmarkEnd w:id="127"/>
      <w:r/>
      <w:bookmarkEnd w:id="128"/>
      <w:r/>
      <w:bookmarkEnd w:id="129"/>
      <w:r/>
      <w:bookmarkEnd w:id="130"/>
      <w:r/>
      <w:r/>
    </w:p>
    <w:p>
      <w:pPr>
        <w:pStyle w:val="695"/>
        <w:ind w:firstLine="420"/>
        <w:jc w:val="both"/>
        <w:keepLines/>
        <w:keepNext/>
        <w:spacing w:beforeAutospacing="0" w:afterAutospacing="0"/>
        <w:rPr>
          <w:rFonts w:hint="eastAsia" w:ascii="宋体" w:hAnsi="宋体" w:eastAsia="宋体" w:cs="宋体"/>
        </w:rPr>
      </w:pPr>
      <w:r/>
      <w:bookmarkStart w:id="131" w:name="_Toc20823302"/>
      <w:r/>
      <w:bookmarkStart w:id="132" w:name="_Toc16938546"/>
      <w:r/>
      <w:bookmarkStart w:id="133" w:name="_Toc513029230"/>
      <w:r>
        <w:rPr>
          <w:rFonts w:hint="eastAsia" w:ascii="宋体" w:hAnsi="宋体" w:eastAsia="宋体" w:cs="宋体"/>
        </w:rPr>
        <w:t xml:space="preserve">22、开标</w:t>
      </w:r>
      <w:bookmarkEnd w:id="131"/>
      <w:r/>
      <w:bookmarkEnd w:id="132"/>
      <w:r/>
      <w:bookmarkEnd w:id="133"/>
      <w:r/>
      <w:r/>
    </w:p>
    <w:p>
      <w:pPr>
        <w:pStyle w:val="695"/>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招标代理机构或招标人将在招标公告中规定的时间和地点组织公开开标。投标人应当按照《操作手册》规定，参加开标活动和在苏采云系统规定的时间内对投标文件进行解密。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22.2开标仪式由招标代理机构或招标人组织。苏采云系统将自动对项目进行开标，并宣布各投标人名称和投标价格。</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695"/>
        <w:ind w:firstLine="420"/>
        <w:jc w:val="both"/>
        <w:keepLines/>
        <w:keepNext/>
        <w:spacing w:beforeAutospacing="0" w:afterAutospacing="0"/>
        <w:rPr>
          <w:rFonts w:hint="eastAsia" w:ascii="宋体" w:hAnsi="宋体" w:eastAsia="宋体" w:cs="宋体"/>
        </w:rPr>
      </w:pPr>
      <w:r/>
      <w:bookmarkStart w:id="134" w:name="_Toc513029231"/>
      <w:r/>
      <w:bookmarkStart w:id="135" w:name="_Toc20823303"/>
      <w:r/>
      <w:bookmarkStart w:id="136" w:name="_Toc16938547"/>
      <w:r>
        <w:rPr>
          <w:rFonts w:hint="eastAsia" w:ascii="宋体" w:hAnsi="宋体" w:eastAsia="宋体" w:cs="宋体"/>
        </w:rPr>
        <w:t xml:space="preserve">23、评标委员会</w:t>
      </w:r>
      <w:bookmarkEnd w:id="134"/>
      <w:r/>
      <w:bookmarkEnd w:id="135"/>
      <w:r/>
      <w:bookmarkEnd w:id="136"/>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23.1开标后，招标代理机构或招标人将立即组织评标委员会（以下简称评委会）进行评标。</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24.1凡是与审查、澄清、评价和比较投标的有关资料以及授标建议等，采购人、评委、招标代理机构或招标人均不得向投标人或与评标无关的其他人员透露。</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招标代理机构或招标人和评标委员会不向未中标的投标人解释未中标原因，也不公布评标过程中的相关细节。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采用综合评分法的项目，未中标的投标人可于中标结果公告期限届满之日起通过招标代理机构查询自己的评审得分及排序情况。</w:t>
      </w:r>
      <w:r/>
    </w:p>
    <w:p>
      <w:pPr>
        <w:pStyle w:val="695"/>
        <w:ind w:firstLine="420"/>
        <w:jc w:val="both"/>
        <w:keepLines/>
        <w:keepNext/>
        <w:spacing w:beforeAutospacing="0" w:afterAutospacing="0"/>
        <w:rPr>
          <w:rFonts w:hint="eastAsia" w:ascii="宋体" w:hAnsi="宋体" w:eastAsia="宋体" w:cs="宋体"/>
        </w:rPr>
      </w:pPr>
      <w:r/>
      <w:bookmarkStart w:id="137" w:name="_Toc513029232"/>
      <w:r/>
      <w:bookmarkStart w:id="138" w:name="_Toc20823304"/>
      <w:r/>
      <w:bookmarkStart w:id="139" w:name="_Toc16938548"/>
      <w:r>
        <w:rPr>
          <w:rFonts w:hint="eastAsia" w:ascii="宋体" w:hAnsi="宋体" w:eastAsia="宋体" w:cs="宋体"/>
        </w:rPr>
        <w:t xml:space="preserve">25．投标文件的澄清</w:t>
      </w:r>
      <w:bookmarkEnd w:id="137"/>
      <w:r/>
      <w:bookmarkEnd w:id="138"/>
      <w:r/>
      <w:bookmarkEnd w:id="139"/>
      <w:r/>
      <w:r/>
    </w:p>
    <w:p>
      <w:pPr>
        <w:pStyle w:val="695"/>
        <w:ind w:firstLine="480"/>
        <w:jc w:val="both"/>
        <w:spacing w:beforeAutospacing="0" w:afterAutospacing="0" w:line="0" w:lineRule="atLeast"/>
        <w:rPr>
          <w:rFonts w:hint="eastAsia" w:ascii="宋体" w:hAnsi="宋体" w:eastAsia="宋体" w:cs="宋体"/>
        </w:rPr>
      </w:pPr>
      <w:r/>
      <w:bookmarkStart w:id="140" w:name="_Toc513029233"/>
      <w:r/>
      <w:bookmarkStart w:id="141" w:name="_Toc16938549"/>
      <w:r/>
      <w:bookmarkStart w:id="142" w:name="_Toc20823305"/>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未通过资格审查或符合性审查的投标人，招标代理机构或招标人将在苏采云系统中告知未通过资格审查或符合性审查的原因，评审结束后，招标代理机构或招标人将不再告知未通过资格审查或符合性审查的原因。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或招标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5"/>
        <w:ind w:firstLine="480"/>
        <w:jc w:val="both"/>
        <w:spacing w:beforeAutospacing="0" w:afterAutospacing="0" w:line="0" w:lineRule="atLeast"/>
        <w:rPr>
          <w:rFonts w:hint="eastAsia" w:ascii="宋体" w:hAnsi="宋体" w:eastAsia="宋体" w:cs="宋体"/>
        </w:rPr>
      </w:pPr>
      <w:r/>
      <w:bookmarkStart w:id="143" w:name="_Toc20823306"/>
      <w:r/>
      <w:bookmarkStart w:id="144" w:name="_Toc16938550"/>
      <w:r/>
      <w:bookmarkStart w:id="145"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5"/>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5"/>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26.7投标人在开、评标全过程中应保持通信畅通，及时登录苏采云系统查阅、答复相关信息，并安排专人与招标代理机构或招标人及评标委员会联系。</w:t>
      </w:r>
      <w:r/>
    </w:p>
    <w:p>
      <w:pPr>
        <w:pStyle w:val="695"/>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r/>
    </w:p>
    <w:p>
      <w:pPr>
        <w:pStyle w:val="695"/>
        <w:ind w:left="479"/>
        <w:jc w:val="both"/>
        <w:spacing w:beforeAutospacing="0" w:afterAutospacing="0" w:line="0" w:lineRule="atLeast"/>
        <w:rPr>
          <w:rFonts w:hint="eastAsia" w:ascii="宋体" w:hAnsi="宋体" w:eastAsia="宋体" w:cs="宋体"/>
        </w:rPr>
      </w:pPr>
      <w:r/>
      <w:bookmarkStart w:id="146" w:name="_Toc513029235"/>
      <w:r/>
      <w:bookmarkStart w:id="147" w:name="_Toc16938551"/>
      <w:r/>
      <w:bookmarkStart w:id="148" w:name="_Toc20823307"/>
      <w:r>
        <w:rPr>
          <w:rFonts w:hint="eastAsia" w:ascii="宋体" w:hAnsi="宋体" w:eastAsia="宋体" w:cs="宋体"/>
        </w:rPr>
        <w:t xml:space="preserve">27.1无效投标条款</w:t>
      </w:r>
      <w:bookmarkEnd w:id="146"/>
      <w:r/>
      <w:bookmarkEnd w:id="147"/>
      <w:r/>
      <w:bookmarkEnd w:id="148"/>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695"/>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95"/>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5"/>
        <w:ind w:firstLine="482"/>
        <w:jc w:val="both"/>
        <w:keepLines/>
        <w:keepNext/>
        <w:spacing w:before="145" w:beforeAutospacing="0" w:after="145" w:afterAutospacing="0" w:line="360" w:lineRule="auto"/>
        <w:rPr>
          <w:rFonts w:hint="eastAsia" w:ascii="宋体" w:hAnsi="宋体" w:eastAsia="宋体" w:cs="宋体"/>
        </w:rPr>
      </w:pPr>
      <w:r/>
      <w:bookmarkStart w:id="149" w:name="_Toc120614219"/>
      <w:r>
        <w:rPr>
          <w:rFonts w:hint="eastAsia" w:ascii="宋体" w:hAnsi="宋体" w:eastAsia="宋体" w:cs="宋体"/>
          <w:b/>
        </w:rPr>
        <w:t xml:space="preserve">六、定标</w:t>
      </w:r>
      <w:bookmarkEnd w:id="149"/>
      <w:r/>
      <w:r/>
    </w:p>
    <w:p>
      <w:pPr>
        <w:pStyle w:val="695"/>
        <w:ind w:firstLine="600"/>
        <w:jc w:val="both"/>
        <w:keepLines/>
        <w:keepNext/>
        <w:spacing w:beforeAutospacing="0" w:afterAutospacing="0"/>
        <w:rPr>
          <w:rFonts w:hint="eastAsia" w:ascii="宋体" w:hAnsi="宋体" w:eastAsia="宋体" w:cs="宋体"/>
        </w:rPr>
      </w:pPr>
      <w:r/>
      <w:bookmarkStart w:id="150" w:name="_Toc20823310"/>
      <w:r/>
      <w:bookmarkStart w:id="151" w:name="_Toc513029238"/>
      <w:r/>
      <w:bookmarkStart w:id="152" w:name="_Toc16938554"/>
      <w:r>
        <w:rPr>
          <w:rFonts w:hint="eastAsia" w:ascii="宋体" w:hAnsi="宋体" w:eastAsia="宋体" w:cs="宋体"/>
        </w:rPr>
        <w:t xml:space="preserve">28、</w:t>
      </w:r>
      <w:bookmarkEnd w:id="150"/>
      <w:r>
        <w:rPr>
          <w:rFonts w:hint="eastAsia" w:ascii="宋体" w:hAnsi="宋体" w:eastAsia="宋体" w:cs="宋体"/>
        </w:rPr>
        <w:t xml:space="preserve">确定</w:t>
      </w:r>
      <w:bookmarkEnd w:id="151"/>
      <w:r/>
      <w:bookmarkEnd w:id="152"/>
      <w:r>
        <w:rPr>
          <w:rFonts w:hint="eastAsia" w:ascii="宋体" w:hAnsi="宋体" w:eastAsia="宋体" w:cs="宋体"/>
        </w:rPr>
        <w:t xml:space="preserve">中标单位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招标代理机构或招标人将在中国政府采购网”“江苏政府采购网”“盐城市政府采购网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28.4.2向采购人、招标代理机构或招标人行贿或者提供其他不正当利益的。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5"/>
        <w:ind w:firstLine="480"/>
        <w:jc w:val="both"/>
        <w:spacing w:beforeAutospacing="0" w:afterAutospacing="0" w:line="0" w:lineRule="atLeast"/>
        <w:rPr>
          <w:rFonts w:hint="eastAsia" w:ascii="宋体" w:hAnsi="宋体" w:eastAsia="宋体" w:cs="宋体"/>
        </w:rPr>
      </w:pPr>
      <w:r/>
      <w:bookmarkStart w:id="153" w:name="_Toc200451960"/>
      <w:r>
        <w:rPr>
          <w:rFonts w:hint="eastAsia" w:ascii="宋体" w:hAnsi="宋体" w:eastAsia="宋体" w:cs="宋体"/>
        </w:rPr>
        <w:t xml:space="preserve">28.5.有下列情形之一的，视为投标人串通投标，投标无效：</w:t>
      </w:r>
      <w:bookmarkEnd w:id="153"/>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r>
      <w:r>
        <w:rPr>
          <w:rFonts w:hint="eastAsia" w:ascii="宋体" w:hAnsi="宋体" w:eastAsia="宋体" w:cs="宋体"/>
        </w:rPr>
        <w:t xml:space="preserve">   29.2.2对采购过程提出质疑的，为各采购程序环节结束之日；</w:t>
      </w:r>
      <w:r>
        <w:rPr>
          <w:rFonts w:hint="eastAsia" w:ascii="宋体" w:hAnsi="宋体" w:eastAsia="宋体" w:cs="宋体"/>
        </w:rPr>
        <w:br/>
      </w:r>
      <w:r>
        <w:rPr>
          <w:rFonts w:hint="eastAsia" w:ascii="宋体" w:hAnsi="宋体" w:eastAsia="宋体" w:cs="宋体"/>
        </w:rPr>
        <w:t xml:space="preserve">   29.2.3对中标或者成交结果提出质疑的，为中标或者成交结果公告期限届满之日。</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供应商应当在法定质疑期内一次性提出针对同一采购程序环节的质疑。供应商如在法定期限内对同一采购程序环节提出多次质疑的，招标代理机构或招标人、采购人将只对供应商第一次质疑作出答复。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或招标人提出，由招标代理机构或招标人负责答复。</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采购人及招标代理机构或招标人只接收以纸质原件形式送达的质疑,采购人和招标代理机构或招标人不接受未填写快递运单的快件。质疑接收部门为公共资源交易中心业务受理处，联系地址：滨海县</w:t>
      </w:r>
      <w:r>
        <w:rPr>
          <w:rFonts w:hint="eastAsia" w:ascii="宋体" w:hAnsi="宋体" w:eastAsia="宋体" w:cs="宋体"/>
          <w:lang w:val="en-US" w:eastAsia="zh-CN"/>
        </w:rPr>
        <w:t xml:space="preserve">大学生创业园电谷A226室</w:t>
      </w:r>
      <w:r>
        <w:rPr>
          <w:rFonts w:hint="eastAsia" w:ascii="宋体" w:hAnsi="宋体" w:eastAsia="宋体" w:cs="宋体"/>
        </w:rPr>
        <w:t xml:space="preserve">，联系电话：</w:t>
      </w:r>
      <w:r>
        <w:rPr>
          <w:rFonts w:hint="eastAsia" w:ascii="宋体" w:hAnsi="宋体" w:eastAsia="宋体" w:cs="宋体"/>
          <w:lang w:val="en-US" w:eastAsia="zh-CN"/>
        </w:rPr>
        <w:t xml:space="preserve">13914632376</w:t>
      </w:r>
      <w:r>
        <w:rPr>
          <w:rFonts w:hint="eastAsia" w:ascii="宋体" w:hAnsi="宋体" w:eastAsia="宋体" w:cs="宋体"/>
        </w:rPr>
        <w:t xml:space="preserve">。</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5"/>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或招标人有权依据政府采购的有关规定，报请政府采购监管部门对该供应商进行相应的行政处罚和记录该供应商的失信信息。</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结果确定后，招标代理机构或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5"/>
        <w:jc w:val="both"/>
        <w:keepLines/>
        <w:keepNext/>
        <w:spacing w:before="145" w:beforeAutospacing="0" w:after="145" w:afterAutospacing="0" w:line="360" w:lineRule="auto"/>
        <w:rPr>
          <w:rFonts w:hint="eastAsia" w:ascii="宋体" w:hAnsi="宋体" w:eastAsia="宋体" w:cs="宋体"/>
        </w:rPr>
      </w:pPr>
      <w:r/>
      <w:bookmarkStart w:id="154" w:name="_Toc16938552"/>
      <w:r/>
      <w:bookmarkStart w:id="155" w:name="_Toc513029236"/>
      <w:r/>
      <w:bookmarkStart w:id="156" w:name="_Toc120614220"/>
      <w:r/>
      <w:bookmarkStart w:id="157" w:name="_Toc20823308"/>
      <w:r>
        <w:rPr>
          <w:rFonts w:hint="eastAsia" w:ascii="宋体" w:hAnsi="宋体" w:eastAsia="宋体" w:cs="宋体"/>
          <w:b/>
        </w:rPr>
        <w:t xml:space="preserve">七、授予合同</w:t>
      </w:r>
      <w:bookmarkEnd w:id="154"/>
      <w:r/>
      <w:bookmarkEnd w:id="155"/>
      <w:r/>
      <w:bookmarkEnd w:id="156"/>
      <w:r/>
      <w:bookmarkEnd w:id="157"/>
      <w:r/>
      <w:r/>
    </w:p>
    <w:p>
      <w:pPr>
        <w:pStyle w:val="695"/>
        <w:ind w:firstLine="600"/>
        <w:jc w:val="both"/>
        <w:keepLines/>
        <w:keepNext/>
        <w:spacing w:beforeAutospacing="0" w:afterAutospacing="0"/>
        <w:rPr>
          <w:rFonts w:hint="eastAsia" w:ascii="宋体" w:hAnsi="宋体" w:eastAsia="宋体" w:cs="宋体"/>
        </w:rPr>
      </w:pPr>
      <w:r/>
      <w:bookmarkStart w:id="158" w:name="_Toc20823309"/>
      <w:r/>
      <w:bookmarkStart w:id="159" w:name="_Toc16938553"/>
      <w:r/>
      <w:bookmarkStart w:id="160" w:name="_Toc513029237"/>
      <w:r>
        <w:rPr>
          <w:rFonts w:hint="eastAsia" w:ascii="宋体" w:hAnsi="宋体" w:eastAsia="宋体" w:cs="宋体"/>
        </w:rPr>
        <w:t xml:space="preserve">31</w:t>
      </w:r>
      <w:r>
        <w:rPr>
          <w:rFonts w:hint="eastAsia" w:ascii="宋体" w:hAnsi="宋体" w:eastAsia="宋体" w:cs="宋体"/>
          <w:lang w:eastAsia="zh-CN"/>
        </w:rPr>
        <w:t xml:space="preserve">、</w:t>
      </w:r>
      <w:r>
        <w:rPr>
          <w:rFonts w:hint="eastAsia" w:ascii="宋体" w:hAnsi="宋体" w:eastAsia="宋体" w:cs="宋体"/>
        </w:rPr>
        <w:t xml:space="preserve">签订合同</w:t>
      </w:r>
      <w:bookmarkEnd w:id="158"/>
      <w:r/>
      <w:bookmarkEnd w:id="159"/>
      <w:r/>
      <w:bookmarkEnd w:id="160"/>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695"/>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5"/>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lang w:eastAsia="zh-CN"/>
        </w:rPr>
        <w:t xml:space="preserve">、</w:t>
      </w:r>
      <w:r>
        <w:rPr>
          <w:rFonts w:hint="eastAsia" w:ascii="宋体" w:hAnsi="宋体" w:eastAsia="宋体" w:cs="宋体"/>
        </w:rPr>
        <w:t xml:space="preserve">货物（包含与货物相关的服务）的追加</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33</w:t>
      </w:r>
      <w:r>
        <w:rPr>
          <w:rFonts w:hint="eastAsia" w:ascii="宋体" w:hAnsi="宋体" w:eastAsia="宋体" w:cs="宋体"/>
          <w:lang w:eastAsia="zh-CN"/>
        </w:rPr>
        <w:t xml:space="preserve">、</w:t>
      </w:r>
      <w:r>
        <w:rPr>
          <w:rFonts w:hint="eastAsia" w:ascii="宋体" w:hAnsi="宋体" w:eastAsia="宋体" w:cs="宋体"/>
        </w:rPr>
        <w:t xml:space="preserve">政府采购政策功能落实</w:t>
      </w:r>
      <w:r/>
    </w:p>
    <w:p>
      <w:pPr>
        <w:pStyle w:val="695"/>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sz w:val="24"/>
        </w:rPr>
      </w:pPr>
      <w:r>
        <w:rPr>
          <w:rFonts w:hint="eastAsia" w:ascii="宋体" w:hAnsi="宋体" w:eastAsia="宋体" w:cs="宋体"/>
          <w:sz w:val="24"/>
        </w:rPr>
        <w:t xml:space="preserve">33.8履约保证金政策</w:t>
      </w:r>
      <w:r/>
    </w:p>
    <w:p>
      <w:pPr>
        <w:ind w:firstLine="480"/>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w:t>
      </w:r>
      <w:r>
        <w:rPr>
          <w:rFonts w:hint="eastAsia" w:ascii="宋体" w:hAnsi="宋体" w:eastAsia="宋体" w:cs="宋体"/>
          <w:sz w:val="24"/>
          <w:lang w:val="en-US" w:eastAsia="zh-CN"/>
        </w:rPr>
        <w:t xml:space="preserve">2</w:t>
      </w:r>
      <w:r>
        <w:rPr>
          <w:rFonts w:hint="eastAsia" w:ascii="宋体" w:hAnsi="宋体" w:eastAsia="宋体" w:cs="宋体"/>
          <w:sz w:val="24"/>
        </w:rPr>
        <w:t xml:space="preserve">个月，保函开具行必须为采购人指定行，且须完全符合采购人要求。如中标人在收到中标通知书后15日内未按上述要求交付履约保证金，采购人有权单方取消投标人中标资格。对AA评级及以上政府采购供应商，可按合同金额的5%比例缴纳履约保证金。</w:t>
      </w:r>
      <w:r/>
    </w:p>
    <w:p>
      <w:pPr>
        <w:ind w:firstLine="480"/>
        <w:jc w:val="left"/>
        <w:rPr>
          <w:rFonts w:hint="eastAsia" w:ascii="宋体" w:hAnsi="宋体" w:eastAsia="宋体" w:cs="宋体"/>
          <w:sz w:val="24"/>
          <w:lang w:val="en-US" w:eastAsia="zh-CN"/>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sz w:val="24"/>
          <w:lang w:val="en-US" w:eastAsia="zh-CN"/>
        </w:rPr>
        <w:t xml:space="preserve">       </w:t>
      </w:r>
      <w:r/>
    </w:p>
    <w:p>
      <w:pPr>
        <w:ind w:firstLine="480"/>
        <w:jc w:val="left"/>
        <w:rPr>
          <w:rFonts w:hint="eastAsia" w:ascii="宋体" w:hAnsi="宋体" w:eastAsia="宋体" w:cs="宋体"/>
          <w:sz w:val="24"/>
        </w:rPr>
      </w:pPr>
      <w:r>
        <w:rPr>
          <w:rFonts w:hint="eastAsia" w:ascii="宋体" w:hAnsi="宋体" w:eastAsia="宋体" w:cs="宋体"/>
          <w:sz w:val="24"/>
          <w:lang w:val="en-US" w:eastAsia="zh-CN"/>
        </w:rPr>
        <w:t xml:space="preserve"> 34、</w:t>
      </w:r>
      <w:r>
        <w:rPr>
          <w:rFonts w:hint="eastAsia" w:ascii="宋体" w:hAnsi="宋体" w:eastAsia="宋体" w:cs="宋体"/>
          <w:sz w:val="24"/>
        </w:rPr>
        <w:t xml:space="preserve">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w:t>
      </w:r>
      <w:r>
        <w:rPr>
          <w:rFonts w:hint="eastAsia" w:ascii="宋体" w:hAnsi="宋体" w:eastAsia="宋体" w:cs="宋体"/>
          <w:sz w:val="24"/>
          <w:u w:val="single"/>
        </w:rPr>
        <w:t xml:space="preserve">预付款比例为30% </w:t>
      </w:r>
      <w:r>
        <w:rPr>
          <w:rFonts w:hint="eastAsia" w:ascii="宋体" w:hAnsi="宋体" w:eastAsia="宋体" w:cs="宋体"/>
          <w:sz w:val="24"/>
        </w:rPr>
        <w:t xml:space="preserve">。</w:t>
      </w:r>
      <w:r/>
    </w:p>
    <w:p>
      <w:pPr>
        <w:pStyle w:val="862"/>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695"/>
        <w:jc w:val="both"/>
        <w:spacing w:beforeAutospacing="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line="360" w:lineRule="auto"/>
        <w:widowControl w:val="off"/>
        <w:rPr>
          <w:rFonts w:hint="eastAsia" w:ascii="宋体" w:hAnsi="宋体" w:eastAsia="宋体" w:cs="宋体"/>
          <w:b/>
          <w:bCs/>
          <w:sz w:val="44"/>
          <w:szCs w:val="44"/>
          <w:highlight w:val="none"/>
          <w:lang w:eastAsia="zh-CN"/>
        </w:rPr>
      </w:pPr>
      <w:r/>
      <w:bookmarkStart w:id="161" w:name="_Toc479757211"/>
      <w:r/>
      <w:bookmarkStart w:id="162" w:name="_Toc462564139"/>
      <w:r/>
      <w:bookmarkStart w:id="163" w:name="_Toc20823346"/>
      <w:r/>
      <w:bookmarkStart w:id="164" w:name="_Toc120614244"/>
      <w:r/>
      <w:bookmarkStart w:id="165" w:name="_Hlt16619350"/>
      <w:r/>
      <w:bookmarkStart w:id="166" w:name="_Toc16938590"/>
      <w:r/>
      <w:bookmarkStart w:id="167" w:name="_Hlt16619369"/>
      <w:r>
        <w:rPr>
          <w:rFonts w:hint="eastAsia" w:ascii="宋体" w:hAnsi="宋体" w:eastAsia="宋体" w:cs="宋体"/>
          <w:b/>
          <w:bCs/>
          <w:color w:val="000000"/>
          <w:sz w:val="44"/>
          <w:szCs w:val="44"/>
          <w:highlight w:val="none"/>
        </w:rPr>
        <w:t xml:space="preserve">第三章  合同</w:t>
      </w:r>
      <w:r>
        <w:rPr>
          <w:rFonts w:hint="eastAsia" w:ascii="宋体" w:hAnsi="宋体" w:eastAsia="宋体" w:cs="宋体"/>
          <w:b/>
          <w:bCs/>
          <w:color w:val="000000"/>
          <w:sz w:val="44"/>
          <w:szCs w:val="44"/>
          <w:highlight w:val="none"/>
          <w:lang w:val="en-US" w:eastAsia="zh-CN"/>
        </w:rPr>
        <w:t xml:space="preserve">条款</w:t>
      </w:r>
      <w:r/>
    </w:p>
    <w:p>
      <w:pPr>
        <w:pStyle w:val="870"/>
        <w:ind w:firstLine="480"/>
        <w:jc w:val="both"/>
        <w:keepLines w:val="0"/>
        <w:keepNext w:val="0"/>
        <w:pageBreakBefore w:val="0"/>
        <w:spacing w:beforeAutospacing="0" w:afterAutospacing="0" w:line="360" w:lineRule="auto"/>
        <w:widowControl w:val="off"/>
        <w:rPr>
          <w:sz w:val="24"/>
          <w:szCs w:val="24"/>
          <w:highlight w:val="none"/>
        </w:rPr>
      </w:pPr>
      <w:r/>
      <w:bookmarkStart w:id="168" w:name="_Toc513029243"/>
      <w:r/>
      <w:bookmarkStart w:id="169" w:name="_Toc16938559"/>
      <w:r/>
      <w:bookmarkStart w:id="170"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Pr>
          <w:sz w:val="24"/>
          <w:szCs w:val="24"/>
          <w:highlight w:val="none"/>
        </w:rPr>
        <w:t xml:space="preserve"> </w:t>
      </w:r>
      <w:r/>
    </w:p>
    <w:p>
      <w:pPr>
        <w:pStyle w:val="870"/>
        <w:jc w:val="center"/>
        <w:keepLines w:val="0"/>
        <w:keepNext w:val="0"/>
        <w:pageBreakBefore w:val="0"/>
        <w:spacing w:before="145" w:beforeAutospacing="0" w:after="145" w:afterAutospacing="0" w:line="360" w:lineRule="auto"/>
        <w:widowControl w:val="off"/>
        <w:rPr>
          <w:rFonts w:hint="eastAsia" w:ascii="宋体" w:hAnsi="宋体" w:eastAsia="宋体"/>
          <w:highlight w:val="none"/>
        </w:rPr>
      </w:pPr>
      <w:r>
        <w:rPr>
          <w:rFonts w:hint="eastAsia" w:ascii="宋体" w:hAnsi="宋体" w:eastAsia="宋体" w:cs="宋体"/>
          <w:b/>
          <w:color w:val="000000"/>
          <w:sz w:val="30"/>
          <w:szCs w:val="30"/>
          <w:highlight w:val="none"/>
        </w:rPr>
        <w:t xml:space="preserve">盐城市政府采购合同（货物）（合同编号）</w:t>
      </w:r>
      <w:r/>
    </w:p>
    <w:p>
      <w:pPr>
        <w:pStyle w:val="871"/>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项目名称：         </w:t>
      </w:r>
      <w:r/>
    </w:p>
    <w:p>
      <w:pPr>
        <w:pStyle w:val="871"/>
        <w:keepLines w:val="0"/>
        <w:keepNext w:val="0"/>
        <w:pageBreakBefore w:val="0"/>
        <w:spacing w:before="120" w:after="120"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项目编号：</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甲方：（买方）</w:t>
      </w:r>
      <w:r>
        <w:rPr>
          <w:rFonts w:hint="eastAsia" w:ascii="宋体" w:hAnsi="宋体" w:cs="宋体"/>
          <w:color w:val="000000"/>
          <w:sz w:val="24"/>
          <w:szCs w:val="24"/>
          <w:u w:val="single"/>
        </w:rPr>
        <w:t xml:space="preserve">                        </w:t>
      </w:r>
      <w:r/>
    </w:p>
    <w:p>
      <w:pPr>
        <w:keepLines w:val="0"/>
        <w:keepNext w:val="0"/>
        <w:pageBreakBefore w:val="0"/>
        <w:spacing w:before="120" w:after="120" w:line="360" w:lineRule="auto"/>
        <w:rPr>
          <w:rFonts w:hint="eastAsia"/>
          <w:color w:val="000000"/>
        </w:rPr>
      </w:pPr>
      <w:r>
        <w:rPr>
          <w:rFonts w:hint="eastAsia" w:ascii="宋体" w:hAnsi="宋体" w:cs="宋体"/>
          <w:color w:val="000000"/>
          <w:sz w:val="24"/>
          <w:szCs w:val="24"/>
        </w:rPr>
        <w:t xml:space="preserve">乙方：（卖方）</w:t>
      </w:r>
      <w:r>
        <w:rPr>
          <w:rFonts w:hint="eastAsia" w:ascii="宋体" w:hAnsi="宋体" w:cs="宋体"/>
          <w:color w:val="000000"/>
          <w:sz w:val="24"/>
          <w:szCs w:val="24"/>
          <w:u w:val="single"/>
        </w:rPr>
        <w:t xml:space="preserve">                        </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color w:val="000000"/>
          <w:sz w:val="24"/>
          <w:szCs w:val="24"/>
        </w:rPr>
        <w:t xml:space="preserve">根据《中华人民共和国民法典》、《中华人民共和国政府采购法》等法律法规的规定以及</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项目采购结果，甲乙双方遵循平等、自愿、公平、诚实信用的原则，就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项目事宜经双方协商一致，订立本合同。</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lang w:val="en-US" w:eastAsia="zh-CN"/>
        </w:rPr>
        <w:t xml:space="preserve">合同</w:t>
      </w:r>
      <w:r>
        <w:rPr>
          <w:rFonts w:hint="eastAsia" w:ascii="宋体" w:hAnsi="宋体" w:cs="宋体"/>
          <w:b/>
          <w:color w:val="000000"/>
          <w:sz w:val="24"/>
          <w:szCs w:val="24"/>
        </w:rPr>
        <w:t xml:space="preserve">内容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p>
    <w:p>
      <w:pPr>
        <w:ind w:firstLine="482"/>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二、合同金额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2.1 本合同金额为（大写）：__________________圆（￥_________元）人民币。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2.2本合同价是指乙方为完成招标文件、采购清单中确定的所有内容。乙方已充分考虑为完成上述内容所必须的全部产品并进行相关服务所需的所有费用，即主要包括（但不限于）：所投产品费用、直接和间接成本费、劳务费、清洁费、包装费、采购费、运杂费（含运输费）、装卸费（含上下力资）、保险费、保修费、管理费、安装费、调试费、</w:t>
      </w:r>
      <w:r>
        <w:rPr>
          <w:rFonts w:hint="eastAsia" w:ascii="宋体" w:hAnsi="宋体" w:eastAsia="宋体" w:cs="宋体"/>
          <w:color w:val="000000"/>
          <w:sz w:val="24"/>
          <w:szCs w:val="24"/>
          <w:lang w:val="en-US" w:eastAsia="zh-CN"/>
        </w:rPr>
        <w:t xml:space="preserve">两</w:t>
      </w:r>
      <w:r>
        <w:rPr>
          <w:rFonts w:hint="eastAsia" w:ascii="宋体" w:hAnsi="宋体" w:eastAsia="宋体" w:cs="宋体"/>
          <w:color w:val="000000"/>
          <w:sz w:val="24"/>
          <w:szCs w:val="24"/>
          <w:highlight w:val="none"/>
          <w:shd w:val="clear" w:color="auto" w:fill="auto"/>
        </w:rPr>
        <w:t xml:space="preserve">年质量保修期内维保</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before="120" w:after="120" w:line="360" w:lineRule="auto"/>
        <w:rPr>
          <w:rFonts w:hint="eastAsia" w:ascii="宋体" w:hAnsi="宋体" w:cs="宋体"/>
          <w:b w:val="0"/>
          <w:bCs/>
          <w:color w:val="000000"/>
          <w:sz w:val="24"/>
          <w:szCs w:val="24"/>
        </w:rPr>
      </w:pPr>
      <w:r>
        <w:rPr>
          <w:rFonts w:hint="eastAsia" w:ascii="宋体" w:hAnsi="宋体" w:cs="宋体"/>
          <w:b w:val="0"/>
          <w:bCs/>
          <w:color w:val="000000"/>
          <w:sz w:val="24"/>
          <w:szCs w:val="24"/>
        </w:rPr>
        <w:t xml:space="preserve">2.3本项目采用固定全费用综合单价（即将所有费用均摊销至各综合单价中）。合同实施过程及结算时，中标的综合单价一律不作调整，按实际供货数量结算。</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3.1 乙方应按采购文件规定的时间向甲方提供货物的有关技术资料。</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3.2没有甲方事先书面同意，乙方不得将由甲方提供的有关合同或任何合同条文、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四、知识产权</w:t>
      </w:r>
      <w:r/>
    </w:p>
    <w:p>
      <w:pPr>
        <w:ind w:left="1"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五、产权担保</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5.1乙方保证所交付的货物的所有权完全属于乙方且无任何抵押、查封等产权瑕疵。</w:t>
      </w:r>
      <w:r/>
    </w:p>
    <w:p>
      <w:pPr>
        <w:ind w:firstLine="480"/>
        <w:keepLines w:val="0"/>
        <w:keepNext w:val="0"/>
        <w:pageBreakBefore w:val="0"/>
        <w:spacing w:before="120" w:after="120" w:line="360" w:lineRule="auto"/>
        <w:rPr>
          <w:rFonts w:hint="default" w:ascii="宋体" w:hAnsi="宋体" w:cs="宋体" w:eastAsiaTheme="minorEastAsia"/>
          <w:b/>
          <w:color w:val="000000"/>
          <w:sz w:val="24"/>
          <w:szCs w:val="24"/>
          <w:lang w:val="en-US" w:eastAsia="zh-CN"/>
        </w:rPr>
      </w:pPr>
      <w:r>
        <w:rPr>
          <w:rFonts w:hint="eastAsia" w:ascii="宋体" w:hAnsi="宋体" w:cs="宋体"/>
          <w:b/>
          <w:color w:val="000000"/>
          <w:sz w:val="24"/>
          <w:szCs w:val="24"/>
        </w:rPr>
        <w:t xml:space="preserve">六、转包</w:t>
      </w:r>
      <w:r>
        <w:rPr>
          <w:rFonts w:hint="eastAsia" w:ascii="宋体" w:hAnsi="宋体" w:cs="宋体"/>
          <w:b/>
          <w:color w:val="000000"/>
          <w:sz w:val="24"/>
          <w:szCs w:val="24"/>
          <w:lang w:val="en-US" w:eastAsia="zh-CN"/>
        </w:rPr>
        <w:t xml:space="preserve">或分包</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本合同范围的货物，应由乙方直接供应，不得转让他人供应。</w:t>
      </w:r>
      <w:r/>
    </w:p>
    <w:p>
      <w:pPr>
        <w:ind w:firstLine="480"/>
        <w:keepLines w:val="0"/>
        <w:keepNext w:val="0"/>
        <w:pageBreakBefore w:val="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6.2 </w:t>
      </w:r>
      <w:r>
        <w:rPr>
          <w:rFonts w:hint="eastAsia" w:ascii="宋体" w:hAnsi="宋体" w:eastAsia="宋体" w:cs="宋体"/>
          <w:sz w:val="24"/>
          <w:szCs w:val="24"/>
          <w:lang w:val="en-US" w:eastAsia="en-US"/>
        </w:rPr>
        <w:t xml:space="preserve">乙方如有转包或未经甲方同意的分包行为，甲方有权解除合同。</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七、履约保证金</w:t>
      </w:r>
      <w:r/>
    </w:p>
    <w:p>
      <w:pPr>
        <w:ind w:firstLine="480"/>
        <w:keepLines w:val="0"/>
        <w:keepNext w:val="0"/>
        <w:pageBreakBefore w:val="0"/>
        <w:spacing w:after="145" w:line="360" w:lineRule="auto"/>
        <w:tabs>
          <w:tab w:val="left" w:pos="900" w:leader="none"/>
        </w:tabs>
        <w:rPr>
          <w:rFonts w:hint="eastAsia" w:ascii="宋体" w:hAnsi="宋体" w:eastAsia="Arial"/>
          <w:color w:val="000000"/>
          <w:sz w:val="24"/>
          <w:highlight w:val="none"/>
          <w:lang w:eastAsia="zh-CN"/>
        </w:rPr>
      </w:pPr>
      <w:r>
        <w:rPr>
          <w:rFonts w:hint="eastAsia" w:ascii="宋体" w:hAnsi="宋体"/>
          <w:color w:val="000000"/>
          <w:sz w:val="24"/>
          <w:highlight w:val="none"/>
        </w:rPr>
        <w:t xml:space="preserve">7.1中标供应商在签订合同前，须向采购人交纳履约保证金（履约保证金的数额为合同金额的10%，以现金转账、支票、汇票、本票或者银行保函形式提交），履约保证金必须交至采购人指定账户。如是开具保函必须是无条件即索即兑的银行保函，保函有效期为签订合同后</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个月，保函开具行必须为采购人指定行，且须完全符合采购人要求。如中标人在收到中标通知书后1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日内未按上述要求交付履约保证金，采购人有权单方取消投标人中标资格</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对AA评级及以上政府采购供应商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可按</w:t>
      </w:r>
      <w:r>
        <w:rPr>
          <w:rFonts w:hint="eastAsia" w:ascii="宋体" w:hAnsi="宋体"/>
          <w:color w:val="000000"/>
          <w:sz w:val="24"/>
          <w:highlight w:val="none"/>
        </w:rPr>
        <w:t xml:space="preserve">合同金额的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比例</w:t>
      </w:r>
      <w:r>
        <w:rPr>
          <w:rFonts w:hint="eastAsia" w:ascii="宋体" w:hAnsi="宋体"/>
          <w:color w:val="000000"/>
          <w:sz w:val="24"/>
          <w:highlight w:val="none"/>
        </w:rPr>
        <w:t xml:space="preserve">缴纳履约保证金</w:t>
      </w:r>
      <w:r>
        <w:rPr>
          <w:rFonts w:hint="eastAsia" w:ascii="宋体" w:hAnsi="宋体"/>
          <w:color w:val="000000"/>
          <w:sz w:val="24"/>
          <w:highlight w:val="none"/>
          <w:lang w:eastAsia="zh-CN"/>
        </w:rPr>
        <w:t xml:space="preserve">。</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7.2合同履行结束后，采购人应及时退还交纳的履约保证金。</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7.3履约保证金的退还：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7.3.1</w:t>
      </w:r>
      <w:r>
        <w:rPr>
          <w:rFonts w:hint="eastAsia" w:ascii="宋体" w:hAnsi="宋体"/>
          <w:color w:val="000000"/>
          <w:sz w:val="24"/>
        </w:rPr>
        <w:t xml:space="preserve">方式：退还至投标人缴纳履约保证金的账户。如为保函，在到期时自行失效。</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7.3.2</w:t>
      </w:r>
      <w:r>
        <w:rPr>
          <w:rFonts w:hint="eastAsia" w:ascii="宋体" w:hAnsi="宋体"/>
          <w:color w:val="000000"/>
          <w:sz w:val="24"/>
        </w:rPr>
        <w:t xml:space="preserve">时间：验收合格且采购人收到发票后</w:t>
      </w:r>
      <w:r>
        <w:rPr>
          <w:rFonts w:hint="eastAsia" w:ascii="宋体" w:hAnsi="宋体"/>
          <w:color w:val="000000"/>
          <w:sz w:val="24"/>
          <w:lang w:val="en-US" w:eastAsia="zh-CN"/>
        </w:rPr>
        <w:t xml:space="preserve">30</w:t>
      </w:r>
      <w:r>
        <w:rPr>
          <w:rFonts w:hint="eastAsia" w:ascii="宋体" w:hAnsi="宋体"/>
          <w:color w:val="000000"/>
          <w:sz w:val="24"/>
        </w:rPr>
        <w:t xml:space="preserve">日内。</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lang w:val="en-US" w:eastAsia="zh-CN"/>
        </w:rPr>
        <w:t xml:space="preserve">7.3.3</w:t>
      </w:r>
      <w:r>
        <w:rPr>
          <w:rFonts w:hint="eastAsia" w:ascii="宋体" w:hAnsi="宋体"/>
          <w:color w:val="000000"/>
          <w:sz w:val="24"/>
        </w:rPr>
        <w:t xml:space="preserve">条件：按合同要求全部履约完成并经采购人验收合格后，且采购人收到中标人出具的发票。</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7.4不予退还情形：</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除不可抗力情况外，投标人出现下列情形之一的，其履约保证金，招标人将视情节决定不予退还或部分不予退还。</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（1）中标人无正当理由拒绝签订合同的，或者在签订合同时向采购人提出附加条件或者更改合同实质性内容要求的；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（2）中标人不履行与采购人订立的合同的；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（3）中标人所供货物或服务不符合招标文件规定要求的；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（4）中标人采取欺骗、弄虚作假方式投标的或与其它投标人串通投标的；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（5）中标人将合同内容转包、违法分包的；</w:t>
      </w:r>
      <w:r/>
    </w:p>
    <w:p>
      <w:pPr>
        <w:ind w:firstLine="480"/>
        <w:keepLines w:val="0"/>
        <w:keepNext w:val="0"/>
        <w:pageBreakBefore w:val="0"/>
        <w:spacing w:after="145" w:line="360" w:lineRule="auto"/>
        <w:tabs>
          <w:tab w:val="left" w:pos="900" w:leader="none"/>
        </w:tabs>
        <w:rPr>
          <w:rFonts w:hint="eastAsia" w:ascii="宋体" w:hAnsi="宋体"/>
          <w:color w:val="000000"/>
          <w:sz w:val="24"/>
        </w:rPr>
      </w:pPr>
      <w:r>
        <w:rPr>
          <w:rFonts w:hint="eastAsia" w:ascii="宋体" w:hAnsi="宋体"/>
          <w:color w:val="000000"/>
          <w:sz w:val="24"/>
        </w:rPr>
        <w:t xml:space="preserve">（6）中标人故意捏造事实或伪造证明材料，进行虚假恶意投诉或反映的。</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w:t>
      </w:r>
      <w:r>
        <w:rPr>
          <w:rFonts w:hint="eastAsia" w:ascii="宋体" w:hAnsi="宋体" w:eastAsia="宋体" w:cs="宋体"/>
          <w:b/>
          <w:color w:val="000000"/>
          <w:sz w:val="24"/>
          <w:szCs w:val="24"/>
          <w:lang w:val="en-US" w:eastAsia="zh-CN"/>
        </w:rPr>
        <w:t xml:space="preserve">免费</w:t>
      </w:r>
      <w:r>
        <w:rPr>
          <w:rFonts w:hint="eastAsia" w:ascii="宋体" w:hAnsi="宋体" w:cs="宋体"/>
          <w:b/>
          <w:color w:val="000000"/>
          <w:sz w:val="24"/>
          <w:szCs w:val="24"/>
        </w:rPr>
        <w:t xml:space="preserve">质</w:t>
      </w:r>
      <w:r>
        <w:rPr>
          <w:rFonts w:hint="eastAsia" w:ascii="宋体" w:hAnsi="宋体" w:eastAsia="宋体" w:cs="宋体"/>
          <w:b/>
          <w:color w:val="000000"/>
          <w:sz w:val="24"/>
          <w:szCs w:val="24"/>
          <w:lang w:val="en-US" w:eastAsia="zh-CN"/>
        </w:rPr>
        <w:t xml:space="preserve">量</w:t>
      </w:r>
      <w:r>
        <w:rPr>
          <w:rFonts w:hint="eastAsia" w:ascii="宋体" w:hAnsi="宋体" w:cs="宋体"/>
          <w:b/>
          <w:color w:val="000000"/>
          <w:sz w:val="24"/>
          <w:szCs w:val="24"/>
        </w:rPr>
        <w:t xml:space="preserve">保</w:t>
      </w:r>
      <w:r>
        <w:rPr>
          <w:rFonts w:hint="eastAsia" w:ascii="宋体" w:hAnsi="宋体" w:eastAsia="宋体" w:cs="宋体"/>
          <w:b/>
          <w:color w:val="000000"/>
          <w:sz w:val="24"/>
          <w:szCs w:val="24"/>
          <w:lang w:val="en-US" w:eastAsia="zh-CN"/>
        </w:rPr>
        <w:t xml:space="preserve">修</w:t>
      </w:r>
      <w:r>
        <w:rPr>
          <w:rFonts w:hint="eastAsia" w:ascii="宋体" w:hAnsi="宋体" w:cs="宋体"/>
          <w:b/>
          <w:color w:val="000000"/>
          <w:sz w:val="24"/>
          <w:szCs w:val="24"/>
        </w:rPr>
        <w:t xml:space="preserve">期</w:t>
      </w:r>
      <w:r/>
    </w:p>
    <w:p>
      <w:pPr>
        <w:ind w:firstLine="480"/>
        <w:keepLines w:val="0"/>
        <w:keepNext w:val="0"/>
        <w:pageBreakBefore w:val="0"/>
        <w:spacing w:before="120" w:after="120"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8.1 质保期（自交货验收合格之日起计）：</w:t>
      </w:r>
      <w:r>
        <w:rPr>
          <w:rFonts w:hint="eastAsia" w:ascii="宋体" w:hAnsi="宋体" w:cs="宋体"/>
          <w:color w:val="000000"/>
          <w:sz w:val="24"/>
          <w:szCs w:val="24"/>
          <w:lang w:val="en-US" w:eastAsia="zh-CN"/>
        </w:rPr>
        <w:t xml:space="preserve">两年</w:t>
      </w:r>
      <w:r>
        <w:rPr>
          <w:rFonts w:hint="eastAsia" w:ascii="宋体" w:hAnsi="宋体" w:eastAsia="宋体" w:cs="宋体"/>
          <w:color w:val="000000"/>
          <w:sz w:val="24"/>
          <w:szCs w:val="24"/>
          <w:lang w:eastAsia="zh-CN"/>
        </w:rPr>
        <w:t xml:space="preserve">。</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九、合同履行期限、交货方式及交货地点</w:t>
      </w:r>
      <w:r/>
    </w:p>
    <w:p>
      <w:pPr>
        <w:pStyle w:val="871"/>
        <w:ind w:firstLine="480"/>
        <w:keepLines w:val="0"/>
        <w:keepNext w:val="0"/>
        <w:pageBreakBefore w:val="0"/>
        <w:spacing w:before="120" w:after="120" w:line="360" w:lineRule="auto"/>
        <w:rPr>
          <w:rFonts w:hint="eastAsia" w:hAnsi="宋体" w:cs="宋体" w:eastAsiaTheme="minorEastAsia"/>
          <w:color w:val="ff0000"/>
          <w:sz w:val="24"/>
          <w:szCs w:val="24"/>
          <w:highlight w:val="none"/>
          <w:lang w:eastAsia="zh-CN"/>
        </w:rPr>
      </w:pPr>
      <w:r>
        <w:rPr>
          <w:rFonts w:hint="eastAsia" w:hAnsi="宋体" w:eastAsia="宋体" w:cs="宋体"/>
          <w:color w:val="000000"/>
          <w:sz w:val="24"/>
          <w:szCs w:val="24"/>
        </w:rPr>
        <w:t xml:space="preserve">9.1 </w:t>
      </w:r>
      <w:r>
        <w:rPr>
          <w:rFonts w:hint="eastAsia" w:ascii="宋体" w:hAnsi="宋体" w:cs="宋体"/>
          <w:sz w:val="24"/>
          <w:szCs w:val="24"/>
          <w:highlight w:val="none"/>
        </w:rPr>
        <w:t xml:space="preserve">供货期限（含安装调试工期）：</w:t>
      </w:r>
      <w:r>
        <w:rPr>
          <w:rFonts w:hint="eastAsia" w:hAnsi="宋体" w:eastAsia="宋体" w:cs="宋体"/>
          <w:b/>
          <w:i w:val="0"/>
          <w:iCs w:val="0"/>
          <w:color w:val="000000"/>
          <w:sz w:val="24"/>
          <w:szCs w:val="24"/>
          <w:highlight w:val="none"/>
          <w:u w:val="single"/>
          <w:lang w:val="en-US" w:eastAsia="zh-CN"/>
        </w:rPr>
        <w:t xml:space="preserve">30</w:t>
      </w:r>
      <w:r>
        <w:rPr>
          <w:rFonts w:hint="eastAsia" w:ascii="宋体" w:hAnsi="宋体" w:cs="宋体"/>
          <w:sz w:val="24"/>
          <w:szCs w:val="24"/>
          <w:highlight w:val="none"/>
        </w:rPr>
        <w:t xml:space="preserve">日历天</w:t>
      </w:r>
      <w:r>
        <w:rPr>
          <w:rFonts w:hint="eastAsia" w:hAnsi="宋体" w:eastAsia="宋体" w:cs="宋体"/>
          <w:i w:val="0"/>
          <w:iCs w:val="0"/>
          <w:color w:val="000000"/>
          <w:sz w:val="24"/>
          <w:szCs w:val="24"/>
          <w:highlight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交货方式：送货上门</w:t>
      </w:r>
      <w:r>
        <w:rPr>
          <w:rFonts w:hint="eastAsia" w:ascii="宋体" w:hAnsi="宋体" w:eastAsia="宋体" w:cs="宋体"/>
          <w:color w:val="000000"/>
          <w:sz w:val="24"/>
          <w:szCs w:val="24"/>
          <w:highlight w:val="none"/>
          <w:lang w:eastAsia="zh-CN"/>
        </w:rPr>
        <w:t xml:space="preserve">。</w:t>
      </w:r>
      <w:r/>
    </w:p>
    <w:p>
      <w:pPr>
        <w:pStyle w:val="871"/>
        <w:ind w:firstLine="480"/>
        <w:keepLines w:val="0"/>
        <w:keepNext w:val="0"/>
        <w:pageBreakBefore w:val="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9.3</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交货地点：</w:t>
      </w:r>
      <w:r>
        <w:rPr>
          <w:rFonts w:hint="eastAsia" w:hAnsi="宋体" w:eastAsia="宋体" w:cs="宋体"/>
          <w:color w:val="000000"/>
          <w:sz w:val="24"/>
          <w:szCs w:val="24"/>
          <w:highlight w:val="none"/>
          <w:lang w:eastAsia="zh-CN"/>
        </w:rPr>
        <w:t xml:space="preserve">滨海县</w:t>
      </w:r>
      <w:r>
        <w:rPr>
          <w:rFonts w:hint="eastAsia" w:hAnsi="宋体" w:eastAsia="宋体" w:cs="宋体"/>
          <w:color w:val="000000"/>
          <w:sz w:val="24"/>
          <w:szCs w:val="24"/>
          <w:highlight w:val="none"/>
          <w:lang w:val="en-US" w:eastAsia="zh-CN"/>
        </w:rPr>
        <w:t xml:space="preserve">民兵训练基地。</w:t>
      </w:r>
      <w:r/>
    </w:p>
    <w:p>
      <w:pPr>
        <w:pStyle w:val="871"/>
        <w:ind w:firstLine="482"/>
        <w:keepLines w:val="0"/>
        <w:keepNext w:val="0"/>
        <w:pageBreakBefore w:val="0"/>
        <w:spacing w:before="120" w:after="120"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十、货款支付</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10.1预付款支付时间：合同签订后，预付款支付比例：合同金额的30%，（中标人须提供合同总价30%的预付款银行保函）。签订合同时，乙方书面明确表示无需预付款的，甲方可不支付预付款。</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10.2尾款支付时间：中标人按要求将货物送到指定地点并完成安装调试，经采购人验收全部合格后付至合同款的80%;待验收合格满一年后并通过审计付至审计价的90%，余款待验收合格满两年后按审计价结清。（如有违约扣款的，按实际情况在合同款中扣除）</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10.3当采购数量与实际使用数量不一致时，乙方应根据实际使用量供货，合同的最终结算金额按实际使用量乘以成交单价进行计算。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shd w:val="clear" w:color="auto" w:fill="ffffff"/>
        <w:widowControl/>
        <w:tabs>
          <w:tab w:val="left" w:pos="630" w:leader="none"/>
        </w:tabs>
        <w:rPr>
          <w:rFonts w:hint="eastAsia" w:ascii="宋体" w:hAnsi="宋体" w:cs="宋体" w:eastAsiaTheme="minorEastAsia"/>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结算时，中标人须提供增值税专用发票，收到发票后10个工作日内支付。</w:t>
      </w:r>
      <w:r/>
    </w:p>
    <w:p>
      <w:pPr>
        <w:ind w:firstLine="480"/>
        <w:keepLines w:val="0"/>
        <w:keepNext w:val="0"/>
        <w:pageBreakBefore w:val="0"/>
        <w:spacing w:after="145" w:line="360" w:lineRule="auto"/>
        <w:tabs>
          <w:tab w:val="left" w:pos="90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（2）乙方</w:t>
      </w:r>
      <w:r>
        <w:rPr>
          <w:rFonts w:hint="eastAsia" w:ascii="宋体" w:hAnsi="宋体" w:cs="宋体"/>
          <w:b w:val="0"/>
          <w:bCs w:val="0"/>
          <w:color w:val="auto"/>
          <w:sz w:val="24"/>
          <w:szCs w:val="24"/>
          <w:highlight w:val="none"/>
        </w:rPr>
        <w:t xml:space="preserve">在</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支付预付款前，必须提供预付款同等金额的银行保函，以确保甲方的资金安全。该保函必须是无条件即索即兑的银行保函，保函有效期为签订合同后</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个月，保函开具行必须为</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指定行，且须完全符合甲方要求。如成交供应商未按上述要求在签订合同前15日内未提供银行保函，则视为成交供应商无条件放弃预付款。</w:t>
      </w:r>
      <w:r/>
    </w:p>
    <w:p>
      <w:pPr>
        <w:ind w:firstLine="480"/>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十一.税费</w:t>
      </w:r>
      <w:r/>
    </w:p>
    <w:p>
      <w:pPr>
        <w:ind w:left="617" w:hanging="216"/>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本合同执行中相关的一切税费均由乙方负担。</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十二、质量保证及售后服务</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12.1 乙方应按采购文件规定的货物性能、技术要求、质量标准向甲方提供未经使用的全新产品。</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12.2 乙方提供的货物在质保期内因货物本身的质量问题发生故障，乙方应负责免费更换。对达不到技术要求者，根据实际情况，经双方协商，可按以下办法处理：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⑴ 更换：由乙方承担所发生的全部费用。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⑵ 贬值处理：由甲乙双方合议定价。                               </w:t>
      </w:r>
      <w:r/>
    </w:p>
    <w:p>
      <w:pPr>
        <w:ind w:left="612" w:hanging="61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⑶退货处理：乙方应退还甲方支付的合同款，同时承担该货物的直接费用（运输、保险、检验、货款利息及银行手续费等）。</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12.3如在使用过程中发生质量问题，乙方在接到甲方通知后在___小时内到达甲方现场，并在</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rPr>
        <w:t xml:space="preserve">小时内解决质量及故障问题。</w:t>
      </w:r>
      <w:r/>
    </w:p>
    <w:p>
      <w:pPr>
        <w:ind w:firstLine="480"/>
        <w:keepLines w:val="0"/>
        <w:keepNext w:val="0"/>
        <w:pageBreakBefore w:val="0"/>
        <w:spacing w:before="120" w:after="120" w:line="360" w:lineRule="auto"/>
        <w:rPr>
          <w:rFonts w:hint="eastAsia" w:ascii="宋体" w:hAnsi="宋体" w:cs="宋体"/>
          <w:color w:val="auto"/>
          <w:sz w:val="24"/>
          <w:szCs w:val="24"/>
        </w:rPr>
      </w:pPr>
      <w:r>
        <w:rPr>
          <w:rFonts w:hint="eastAsia" w:ascii="宋体" w:hAnsi="宋体" w:cs="宋体"/>
          <w:color w:val="000000"/>
          <w:sz w:val="24"/>
          <w:szCs w:val="24"/>
        </w:rPr>
        <w:t xml:space="preserve">12.4在质保期内，乙方应对货物出现的质量及安全问题负责处理解决并承担所产生的一切费用。</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auto"/>
          <w:sz w:val="24"/>
          <w:szCs w:val="24"/>
        </w:rPr>
        <w:t xml:space="preserve">12.5上述的货物免费保修期为</w:t>
      </w:r>
      <w:r>
        <w:rPr>
          <w:rFonts w:hint="eastAsia" w:ascii="宋体" w:hAnsi="宋体" w:cs="宋体"/>
          <w:color w:val="auto"/>
          <w:sz w:val="24"/>
          <w:szCs w:val="24"/>
          <w:u w:val="single"/>
        </w:rPr>
        <w:t xml:space="preserve">根据招投标文件要求</w:t>
      </w:r>
      <w:r>
        <w:rPr>
          <w:rFonts w:hint="eastAsia" w:ascii="宋体" w:hAnsi="宋体" w:cs="宋体"/>
          <w:color w:val="auto"/>
          <w:sz w:val="24"/>
          <w:szCs w:val="24"/>
        </w:rPr>
        <w:t xml:space="preserve">，</w:t>
      </w:r>
      <w:r>
        <w:rPr>
          <w:rFonts w:hint="eastAsia" w:ascii="宋体" w:hAnsi="宋体" w:cs="宋体"/>
          <w:color w:val="000000"/>
          <w:sz w:val="24"/>
          <w:szCs w:val="24"/>
        </w:rPr>
        <w:t xml:space="preserve">因人为因素出现的故障不在免费保修范围内。超过免费质量保修期的货物，乙方应提供终生维修（除甲方不再要求继续维修外），维修时只收部件成本费。</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12.6售后服务：乙方须按招标文件要求和投标文件的承诺执行。</w:t>
      </w:r>
      <w:r/>
    </w:p>
    <w:p>
      <w:pPr>
        <w:ind w:firstLine="480"/>
        <w:keepLines w:val="0"/>
        <w:keepNext w:val="0"/>
        <w:pageBreakBefore w:val="0"/>
        <w:spacing w:line="360" w:lineRule="auto"/>
        <w:rPr>
          <w:rFonts w:ascii="宋体" w:hAnsi="宋体" w:cs="宋体"/>
          <w:color w:val="ff0000"/>
          <w:sz w:val="24"/>
          <w:szCs w:val="24"/>
        </w:rPr>
      </w:pPr>
      <w:r>
        <w:rPr>
          <w:rFonts w:hint="eastAsia" w:ascii="宋体" w:hAnsi="宋体" w:cs="宋体"/>
          <w:sz w:val="24"/>
          <w:szCs w:val="24"/>
        </w:rPr>
        <w:t xml:space="preserve">12.</w:t>
      </w:r>
      <w:r>
        <w:rPr>
          <w:rFonts w:hint="eastAsia" w:ascii="宋体" w:hAnsi="宋体" w:cs="宋体"/>
          <w:sz w:val="24"/>
          <w:szCs w:val="24"/>
          <w:lang w:val="en-US" w:eastAsia="zh-CN"/>
        </w:rPr>
        <w:t xml:space="preserve">7</w:t>
      </w:r>
      <w:r>
        <w:rPr>
          <w:rFonts w:hint="eastAsia" w:ascii="宋体" w:hAnsi="宋体" w:cs="宋体"/>
          <w:sz w:val="24"/>
          <w:szCs w:val="24"/>
        </w:rPr>
        <w:t xml:space="preserve">成交供应商投标前须自行勘察现场，如设备安装运行需涉及</w:t>
      </w:r>
      <w:r>
        <w:rPr>
          <w:rFonts w:hint="eastAsia" w:ascii="宋体" w:hAnsi="宋体" w:eastAsia="宋体" w:cs="宋体"/>
          <w:sz w:val="24"/>
          <w:szCs w:val="24"/>
          <w:lang w:val="en-US" w:eastAsia="zh-CN"/>
        </w:rPr>
        <w:t xml:space="preserve">装修</w:t>
      </w:r>
      <w:r>
        <w:rPr>
          <w:rFonts w:hint="eastAsia" w:ascii="宋体" w:hAnsi="宋体" w:cs="宋体"/>
          <w:sz w:val="24"/>
          <w:szCs w:val="24"/>
        </w:rPr>
        <w:t xml:space="preserve">等前期改造，则相关一切费用均有成交供应商自行承担，并包含在投标报价中，采购人不再另外支付。如因改造导致工期延误，则视为成交供应商违约，相关违约责任由成交供应商承担，采购人有权扣除合同金额的10%作为合同违约金。</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十三、货物验收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13.1 甲方对乙方提供的货物依据采购文件上的技术规格要求和国家有关质量标准进行验收，不满足要求或标准的不予验收。</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13.2 乙方交货前应对货物作出全面检查和对验收文件进行整理，并列出清单，作为甲方收货验收和使用的技术依据，清单应随货物交付甲方。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13.3 对技术复杂的货物，甲方可请具有资质的专业检测机构参与验收与检测，并由其出具质量检测报告，费用由乙方承担。</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十四、货物包装、发运及运输</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14.2 使用说明书、质量检验证明书、随配附件和工具以及清单一并附于货物内。</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14.3 乙方在货物发运手续办理完毕后24小时内或货到甲方48小时前通知甲方，以准备接货。</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14.4 货物在验收合格交付甲方前所发生的所有风险由乙方承担。</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p>
    <w:p>
      <w:pPr>
        <w:ind w:left="633" w:hanging="232"/>
        <w:keepLines w:val="0"/>
        <w:keepNext w:val="0"/>
        <w:pageBreakBefore w:val="0"/>
        <w:spacing w:before="120" w:after="120" w:line="360" w:lineRule="auto"/>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15.1</w:t>
      </w:r>
      <w:r>
        <w:rPr>
          <w:rFonts w:hint="eastAsia" w:ascii="宋体" w:hAnsi="宋体" w:cs="宋体"/>
          <w:color w:val="000000"/>
          <w:sz w:val="24"/>
          <w:szCs w:val="24"/>
          <w:highlight w:val="none"/>
          <w:lang w:val="en-US" w:eastAsia="zh-CN"/>
        </w:rPr>
        <w:t xml:space="preserve"> 逾期责任及违约金支付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1.任一单项货物逾期交付的，乙方应按每项的货物延期天数向甲方支付2000元/天的违约金。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2.合同中任一单项货物供货逾期超过</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个日历天的，视为乙方严重违约，甲方有权单方面解除合同，乙方应向甲方支付项目中标金额</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的违约金。</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3.违约金的支付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①违约金从履约保证金中扣除；</w:t>
      </w:r>
      <w:r/>
    </w:p>
    <w:p>
      <w:pPr>
        <w:ind w:firstLine="480"/>
        <w:keepLines w:val="0"/>
        <w:keepNext w:val="0"/>
        <w:pageBreakBefore w:val="0"/>
        <w:spacing w:before="120" w:after="120" w:line="360" w:lineRule="auto"/>
        <w:widowControl w:val="off"/>
        <w:tabs>
          <w:tab w:val="left" w:pos="103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②违约金超过履约保证金部分由应付货款中扣除；</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③违约金超过应付货款的差额部分，乙方须支付差额部分，乙方拒绝支付的，甲方可向法院起诉要求乙方支付。</w:t>
      </w:r>
      <w:r/>
    </w:p>
    <w:p>
      <w:pPr>
        <w:ind w:firstLine="480"/>
        <w:keepLines w:val="0"/>
        <w:keepNext w:val="0"/>
        <w:pageBreakBefore w:val="0"/>
        <w:spacing w:before="120" w:after="12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 乙方所交的货物品种、型号、规格、技术参数、质量不符合合同规定及采购文件规定标准的，甲方有权拒收该货物且视为乙方逾期交货，若因此产生的违约责任按照</w:t>
      </w:r>
      <w:r>
        <w:rPr>
          <w:rFonts w:hint="eastAsia" w:ascii="宋体" w:hAnsi="宋体" w:cs="宋体"/>
          <w:color w:val="000000"/>
          <w:sz w:val="24"/>
          <w:szCs w:val="24"/>
          <w:highlight w:val="none"/>
          <w:lang w:val="en-US" w:eastAsia="zh-CN"/>
        </w:rPr>
        <w:t xml:space="preserve">15.1</w:t>
      </w:r>
      <w:r>
        <w:rPr>
          <w:rFonts w:hint="eastAsia" w:ascii="宋体" w:hAnsi="宋体" w:cs="宋体"/>
          <w:color w:val="000000"/>
          <w:sz w:val="24"/>
          <w:szCs w:val="24"/>
          <w:highlight w:val="none"/>
        </w:rPr>
        <w:t xml:space="preserve">条款执行。</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 质保期</w:t>
      </w:r>
      <w:r>
        <w:rPr>
          <w:rFonts w:hint="eastAsia" w:ascii="宋体" w:hAnsi="宋体"/>
          <w:sz w:val="24"/>
          <w:szCs w:val="24"/>
          <w:highlight w:val="none"/>
        </w:rPr>
        <w:t xml:space="preserve">若设备发生故障时，出现以下情况：</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15.3.1</w:t>
      </w:r>
      <w:r>
        <w:rPr>
          <w:rFonts w:hint="eastAsia" w:ascii="宋体" w:hAnsi="宋体"/>
          <w:sz w:val="24"/>
          <w:szCs w:val="24"/>
          <w:highlight w:val="none"/>
        </w:rPr>
        <w:t xml:space="preserve">.乙方未在1小时内做出电话响应或</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小时内到达现场；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直至扣除全部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15.3.2</w:t>
      </w:r>
      <w:r>
        <w:rPr>
          <w:rFonts w:hint="eastAsia" w:ascii="宋体" w:hAnsi="宋体"/>
          <w:sz w:val="24"/>
          <w:szCs w:val="24"/>
          <w:highlight w:val="none"/>
        </w:rPr>
        <w:t xml:space="preserve">.乙方在</w:t>
      </w:r>
      <w:r>
        <w:rPr>
          <w:rFonts w:hint="eastAsia" w:ascii="宋体" w:hAnsi="宋体"/>
          <w:sz w:val="24"/>
          <w:szCs w:val="24"/>
          <w:highlight w:val="none"/>
          <w:lang w:val="en-US" w:eastAsia="zh-CN"/>
        </w:rPr>
        <w:t xml:space="preserve">质保</w:t>
      </w:r>
      <w:r>
        <w:rPr>
          <w:rFonts w:hint="eastAsia" w:ascii="宋体" w:hAnsi="宋体"/>
          <w:sz w:val="24"/>
          <w:szCs w:val="24"/>
          <w:highlight w:val="none"/>
        </w:rPr>
        <w:t xml:space="preserve">过程中若造成甲方设备或任一固定资产、人员等损坏或损伤，乙方应承担全部赔偿责任，甲方有权扣除损坏或损伤对应金额的履约保证金或尾款。</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15.3.3</w:t>
      </w:r>
      <w:r>
        <w:rPr>
          <w:rFonts w:hint="eastAsia" w:ascii="宋体" w:hAnsi="宋体"/>
          <w:sz w:val="24"/>
          <w:szCs w:val="24"/>
          <w:highlight w:val="none"/>
        </w:rPr>
        <w:t xml:space="preserve">乙方未能按照甲方需求定期提供设备巡检及保养的，甲方有权按合同总额*</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%/次对乙方予以扣罚</w:t>
      </w:r>
      <w:r>
        <w:rPr>
          <w:rFonts w:hint="eastAsia" w:ascii="宋体" w:hAnsi="宋体"/>
          <w:sz w:val="24"/>
          <w:szCs w:val="24"/>
          <w:highlight w:val="none"/>
          <w:lang w:val="en-US" w:eastAsia="zh-CN"/>
        </w:rPr>
        <w:t xml:space="preserve">违约金</w:t>
      </w: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sz w:val="24"/>
          <w:szCs w:val="24"/>
          <w:highlight w:val="none"/>
          <w:lang w:val="en-US" w:eastAsia="zh-CN"/>
        </w:rPr>
        <w:t xml:space="preserve">15.3.4</w:t>
      </w:r>
      <w:r>
        <w:rPr>
          <w:rFonts w:hint="eastAsia" w:ascii="宋体" w:hAnsi="宋体"/>
          <w:sz w:val="24"/>
          <w:szCs w:val="24"/>
          <w:highlight w:val="none"/>
        </w:rPr>
        <w:t xml:space="preserve">.如乙方更换的设备配件非原厂全新</w:t>
      </w:r>
      <w:r>
        <w:rPr>
          <w:rFonts w:hint="eastAsia" w:ascii="宋体" w:hAnsi="宋体"/>
          <w:sz w:val="24"/>
          <w:szCs w:val="24"/>
          <w:highlight w:val="none"/>
          <w:lang w:val="en-US" w:eastAsia="zh-CN"/>
        </w:rPr>
        <w:t xml:space="preserve">适</w:t>
      </w:r>
      <w:r>
        <w:rPr>
          <w:rFonts w:hint="eastAsia" w:ascii="宋体" w:hAnsi="宋体"/>
          <w:sz w:val="24"/>
          <w:szCs w:val="24"/>
          <w:highlight w:val="none"/>
        </w:rPr>
        <w:t xml:space="preserve">配件，甲方有权按合同总额*</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0%/次对乙方予以扣罚并终止合同。</w:t>
      </w:r>
      <w:r/>
    </w:p>
    <w:p>
      <w:pPr>
        <w:ind w:firstLine="480"/>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十六、不可抗力事件处理</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不可抗力事件发生后，应立即通知对方，并寄送有关权威机构出具的证明。</w:t>
      </w:r>
      <w:r/>
    </w:p>
    <w:p>
      <w:pPr>
        <w:ind w:left="633" w:hanging="232"/>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 不可抗力事件延续120天以上，甲方有权选择终止合同或继续履行合</w:t>
      </w:r>
      <w:r/>
    </w:p>
    <w:p>
      <w:pPr>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w:t>
      </w:r>
      <w:r/>
    </w:p>
    <w:p>
      <w:pPr>
        <w:ind w:firstLine="480"/>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十七、解决争议的方法</w:t>
      </w:r>
      <w:r/>
    </w:p>
    <w:p>
      <w:pPr>
        <w:ind w:firstLine="480"/>
        <w:keepLines w:val="0"/>
        <w:keepNext w:val="0"/>
        <w:pageBreakBefore w:val="0"/>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双方在执行合同中所发生的一切争议，可通过协商解决，并签订补充协议。如协商不成，可向甲方所在地人民法院提起诉讼。</w:t>
      </w:r>
      <w:r/>
    </w:p>
    <w:p>
      <w:pPr>
        <w:ind w:firstLine="480"/>
        <w:keepLines w:val="0"/>
        <w:keepNext w:val="0"/>
        <w:pageBreakBefore w:val="0"/>
        <w:spacing w:before="120" w:after="12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十八、其他</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18.1 本合同所有附件、招标文件、投标文件、中标通知书及补充协议均为合同的有效组成部分，与本合同具有同等法律效力。</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18.2 如一方地址、电话、传真号码有变更，应在变更当日内书面通知对方，否则，应承担相应责任。</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18.3 除甲方事先书面同意外，乙方不得部分或全部转让其应履行的合同项下的义务。</w:t>
      </w:r>
      <w:r/>
    </w:p>
    <w:p>
      <w:pPr>
        <w:ind w:firstLine="480"/>
        <w:keepLines w:val="0"/>
        <w:keepNext w:val="0"/>
        <w:pageBreakBefore w:val="0"/>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十九、合同生效</w:t>
      </w:r>
      <w:r/>
    </w:p>
    <w:p>
      <w:pPr>
        <w:ind w:firstLine="48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19.1 合同经双方法定代表人或授权委托代表人签字并加盖单位公章后生效。</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19.2本合同未尽事宜，遵照《中华人民共和国民法典》有关条文执行。</w:t>
      </w:r>
      <w:r/>
    </w:p>
    <w:p>
      <w:pPr>
        <w:ind w:left="633" w:hanging="232"/>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19.3 本合同正本一式</w:t>
      </w:r>
      <w:r>
        <w:rPr>
          <w:rFonts w:hint="eastAsia" w:ascii="宋体" w:hAnsi="宋体" w:cs="宋体"/>
          <w:color w:val="000000"/>
          <w:sz w:val="24"/>
          <w:szCs w:val="24"/>
          <w:u w:val="single"/>
        </w:rPr>
        <w:t xml:space="preserve"> 伍 </w:t>
      </w:r>
      <w:r>
        <w:rPr>
          <w:rFonts w:hint="eastAsia" w:ascii="宋体" w:hAnsi="宋体" w:cs="宋体"/>
          <w:color w:val="000000"/>
          <w:sz w:val="24"/>
          <w:szCs w:val="24"/>
        </w:rPr>
        <w:t xml:space="preserve">份，甲、乙双方各执</w:t>
      </w:r>
      <w:r>
        <w:rPr>
          <w:rFonts w:hint="eastAsia" w:ascii="宋体" w:hAnsi="宋体" w:cs="宋体"/>
          <w:color w:val="000000"/>
          <w:sz w:val="24"/>
          <w:szCs w:val="24"/>
          <w:u w:val="single"/>
          <w:lang w:val="en-US" w:eastAsia="zh-CN"/>
        </w:rPr>
        <w:t xml:space="preserve">贰</w:t>
      </w:r>
      <w:r>
        <w:rPr>
          <w:rFonts w:hint="eastAsia" w:ascii="宋体" w:hAnsi="宋体" w:cs="宋体"/>
          <w:color w:val="000000"/>
          <w:sz w:val="24"/>
          <w:szCs w:val="24"/>
        </w:rPr>
        <w:t xml:space="preserve">份，代理公司执</w:t>
      </w:r>
      <w:r>
        <w:rPr>
          <w:rFonts w:hint="eastAsia" w:ascii="宋体" w:hAnsi="宋体" w:cs="宋体"/>
          <w:color w:val="000000"/>
          <w:sz w:val="24"/>
          <w:szCs w:val="24"/>
          <w:u w:val="single"/>
          <w:lang w:val="en-US" w:eastAsia="zh-CN"/>
        </w:rPr>
        <w:t xml:space="preserve">壹</w:t>
      </w:r>
      <w:r>
        <w:rPr>
          <w:rFonts w:hint="eastAsia" w:ascii="宋体" w:hAnsi="宋体" w:cs="宋体"/>
          <w:color w:val="000000"/>
          <w:sz w:val="24"/>
          <w:szCs w:val="24"/>
        </w:rPr>
        <w:t xml:space="preserve">份。</w:t>
      </w:r>
      <w:r/>
    </w:p>
    <w:p>
      <w:pPr>
        <w:ind w:left="657" w:firstLine="206"/>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                               乙方：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rPr>
        <w:t xml:space="preserve">地址：                               地址： </w:t>
      </w:r>
      <w:r/>
    </w:p>
    <w:p>
      <w:pPr>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rPr>
        <w:t xml:space="preserve">法定代表人或授权代表：               法定代表人或授权代表：</w:t>
      </w:r>
      <w:r/>
    </w:p>
    <w:p>
      <w:pPr>
        <w:ind w:firstLine="993"/>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                           联系电话：          </w:t>
      </w:r>
      <w:r/>
    </w:p>
    <w:p>
      <w:pPr>
        <w:ind w:firstLine="240"/>
        <w:keepLines w:val="0"/>
        <w:keepNext w:val="0"/>
        <w:pageBreakBefore w:val="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240"/>
        <w:jc w:val="right"/>
        <w:keepLines w:val="0"/>
        <w:keepNext w:val="0"/>
        <w:pageBreakBefore w:val="0"/>
        <w:spacing w:line="360" w:lineRule="auto"/>
        <w:rPr>
          <w:rFonts w:hint="eastAsia" w:ascii="黑体" w:hAnsi="宋体" w:eastAsia="黑体" w:cs="黑体"/>
          <w:sz w:val="44"/>
          <w:szCs w:val="44"/>
        </w:rPr>
      </w:pPr>
      <w:r>
        <w:rPr>
          <w:rFonts w:hint="eastAsia" w:ascii="宋体" w:hAnsi="宋体" w:cs="宋体"/>
          <w:color w:val="000000"/>
          <w:sz w:val="24"/>
          <w:szCs w:val="24"/>
        </w:rPr>
        <w:t xml:space="preserve">签订日期：      年    月   日</w:t>
      </w:r>
      <w:r/>
    </w:p>
    <w:p>
      <w:pPr>
        <w:pStyle w:val="695"/>
        <w:jc w:val="center"/>
        <w:spacing w:before="120" w:beforeAutospacing="0" w:after="120" w:afterAutospacing="0" w:line="0" w:lineRule="atLeast"/>
        <w:rPr>
          <w:rFonts w:hint="default" w:eastAsia="黑体"/>
          <w:lang w:val="en-US" w:eastAsia="zh-CN"/>
        </w:rPr>
      </w:pPr>
      <w:r>
        <w:rPr>
          <w:rFonts w:hint="eastAsia" w:ascii="黑体" w:hAnsi="宋体" w:eastAsia="黑体" w:cs="黑体"/>
          <w:sz w:val="44"/>
          <w:szCs w:val="44"/>
          <w:highlight w:val="none"/>
          <w:lang w:val="en-US" w:eastAsia="zh-CN"/>
        </w:rPr>
      </w:r>
      <w:r>
        <w:rPr>
          <w:rFonts w:hint="eastAsia" w:ascii="黑体" w:hAnsi="宋体" w:eastAsia="黑体" w:cs="黑体"/>
          <w:sz w:val="44"/>
          <w:szCs w:val="44"/>
          <w:highlight w:val="none"/>
          <w:lang w:val="en-US" w:eastAsia="zh-CN"/>
        </w:rPr>
      </w:r>
      <w:r/>
    </w:p>
    <w:p>
      <w:pPr>
        <w:pStyle w:val="695"/>
        <w:jc w:val="center"/>
        <w:spacing w:before="120" w:beforeAutospacing="0" w:after="120" w:afterAutospacing="0" w:line="0" w:lineRule="atLeast"/>
        <w:rPr>
          <w:rFonts w:hint="eastAsia" w:ascii="黑体" w:hAnsi="宋体" w:eastAsia="黑体" w:cs="黑体"/>
          <w:sz w:val="44"/>
          <w:szCs w:val="44"/>
          <w:highlight w:val="none"/>
          <w:lang w:val="en-US" w:eastAsia="zh-CN"/>
        </w:rPr>
      </w:pPr>
      <w:r>
        <w:rPr>
          <w:rFonts w:hint="eastAsia" w:ascii="黑体" w:hAnsi="宋体" w:eastAsia="黑体" w:cs="黑体"/>
          <w:sz w:val="44"/>
          <w:szCs w:val="44"/>
        </w:rPr>
        <w:t xml:space="preserve"> 第</w:t>
      </w:r>
      <w:bookmarkEnd w:id="161"/>
      <w:r>
        <w:rPr>
          <w:rFonts w:hint="eastAsia" w:ascii="黑体" w:hAnsi="宋体" w:eastAsia="黑体" w:cs="黑体"/>
          <w:sz w:val="44"/>
          <w:szCs w:val="44"/>
        </w:rPr>
        <w:t xml:space="preserve">四章 采购需求</w:t>
      </w:r>
      <w:bookmarkEnd w:id="162"/>
      <w:r/>
      <w:bookmarkEnd w:id="163"/>
      <w:r/>
      <w:bookmarkEnd w:id="164"/>
      <w:r/>
      <w:bookmarkEnd w:id="165"/>
      <w:r/>
      <w:bookmarkEnd w:id="166"/>
      <w:r>
        <w:rPr>
          <w:rFonts w:hint="eastAsia" w:ascii="黑体" w:hAnsi="宋体" w:eastAsia="黑体" w:cs="黑体"/>
          <w:sz w:val="44"/>
          <w:szCs w:val="44"/>
          <w:lang w:val="en-US" w:eastAsia="zh-CN"/>
        </w:rPr>
        <w:t xml:space="preserve">                                                                     </w:t>
      </w:r>
      <w:r/>
    </w:p>
    <w:p>
      <w:pPr>
        <w:pStyle w:val="695"/>
        <w:jc w:val="both"/>
        <w:spacing w:beforeAutospacing="0" w:afterAutospacing="0" w:line="0" w:lineRule="atLeast"/>
        <w:rPr>
          <w:rFonts w:hint="eastAsia" w:ascii="宋体" w:hAnsi="宋体" w:eastAsia="宋体" w:cs="宋体"/>
        </w:rPr>
      </w:pPr>
      <w:r/>
      <w:bookmarkStart w:id="171" w:name="_Toc26554093"/>
      <w:r/>
      <w:bookmarkStart w:id="172" w:name="_Toc49090575"/>
      <w:r>
        <w:rPr>
          <w:rFonts w:hint="eastAsia" w:ascii="宋体" w:hAnsi="宋体" w:eastAsia="宋体" w:cs="宋体"/>
        </w:rPr>
        <w:t xml:space="preserve">项目属性:货物类项目</w:t>
      </w:r>
      <w:bookmarkEnd w:id="171"/>
      <w:r/>
      <w:bookmarkEnd w:id="172"/>
      <w:r/>
      <w:r/>
    </w:p>
    <w:p>
      <w:pPr>
        <w:ind w:left="480" w:hanging="480"/>
        <w:spacing w:line="420" w:lineRule="exact"/>
        <w:rPr>
          <w:rFonts w:ascii="Times New Roman" w:hAnsi="Times New Roman" w:eastAsia="宋体" w:cs="Times New Roman"/>
          <w:sz w:val="24"/>
        </w:rPr>
      </w:pPr>
      <w:r>
        <w:rPr>
          <w:rFonts w:hint="eastAsia" w:ascii="Times New Roman" w:hAnsi="Times New Roman" w:eastAsia="宋体" w:cs="Times New Roman"/>
          <w:sz w:val="24"/>
        </w:rPr>
        <w:t xml:space="preserve">采购标的所属行业：工业。 </w:t>
      </w:r>
      <w:r>
        <w:rPr>
          <w:rFonts w:ascii="Times New Roman" w:hAnsi="Times New Roman" w:eastAsia="宋体" w:cs="Times New Roman"/>
          <w:sz w:val="24"/>
        </w:rPr>
        <w:t xml:space="preserve">具体内容如下表：</w:t>
      </w:r>
      <w:r/>
    </w:p>
    <w:tbl>
      <w:tblPr>
        <w:tblStyle w:val="672"/>
        <w:tblW w:w="9972" w:type="dxa"/>
        <w:tblInd w:w="-2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3"/>
        <w:gridCol w:w="1045"/>
        <w:gridCol w:w="1367"/>
        <w:gridCol w:w="709"/>
        <w:gridCol w:w="624"/>
        <w:gridCol w:w="1524"/>
        <w:gridCol w:w="4020"/>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bookmarkStart w:id="173" w:name="_Toc120614281"/>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产品名称 </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参考图片</w: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主副食库</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65405</wp:posOffset>
                      </wp:positionV>
                      <wp:extent cx="619760" cy="625475"/>
                      <wp:effectExtent l="0" t="0" r="5080" b="14604"/>
                      <wp:wrapNone/>
                      <wp:docPr id="1" name="图片_41"/>
                      <wp:cNvGraphicFramePr/>
                      <a:graphic xmlns:a="http://schemas.openxmlformats.org/drawingml/2006/main">
                        <a:graphicData uri="http://schemas.openxmlformats.org/drawingml/2006/picture">
                          <pic:pic xmlns:pic="http://schemas.openxmlformats.org/drawingml/2006/picture">
                            <pic:nvPicPr>
                              <pic:cNvPr id="22" name="图片_41"/>
                              <pic:cNvPicPr/>
                              <pic:nvPr/>
                            </pic:nvPicPr>
                            <pic:blipFill>
                              <a:blip r:embed="rId10"/>
                              <a:stretch/>
                            </pic:blipFill>
                            <pic:spPr bwMode="auto">
                              <a:xfrm>
                                <a:off x="0" y="0"/>
                                <a:ext cx="619760"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2pt;mso-position-horizontal:absolute;mso-position-vertical-relative:text;margin-top:5.1pt;mso-position-vertical:absolute;width:48.8pt;height:49.2pt;mso-wrap-distance-left:9.0pt;mso-wrap-distance-top:0.0pt;mso-wrap-distance-right:9.0pt;mso-wrap-distance-bottom:0.0pt;" stroked="f">
                      <v:path textboxrect="0,0,0,0"/>
                      <v:imagedata r:id="rId1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1.管架SUS304 1.5㎜厚38×38㎜不锈钢方管。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2.层梁用SUS304 1.2㎜厚不锈钢38×25方管,间隔条用1.0㎜不锈钢30×15方管,骨条间距50㎜。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3.38×38不锈钢管及高度调整钢脚。</w:t>
            </w:r>
            <w:r/>
          </w:p>
        </w:tc>
      </w:tr>
      <w:tr>
        <w:trPr>
          <w:trHeight w:val="112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低物架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1200*500*300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66675</wp:posOffset>
                      </wp:positionV>
                      <wp:extent cx="704215" cy="513715"/>
                      <wp:effectExtent l="0" t="0" r="12065" b="4445"/>
                      <wp:wrapNone/>
                      <wp:docPr id="2" name="图片_2"/>
                      <wp:cNvGraphicFramePr/>
                      <a:graphic xmlns:a="http://schemas.openxmlformats.org/drawingml/2006/main">
                        <a:graphicData uri="http://schemas.openxmlformats.org/drawingml/2006/picture">
                          <pic:pic xmlns:pic="http://schemas.openxmlformats.org/drawingml/2006/picture">
                            <pic:nvPicPr>
                              <pic:cNvPr id="19" name="图片_2"/>
                              <pic:cNvPicPr/>
                              <pic:nvPr/>
                            </pic:nvPicPr>
                            <pic:blipFill>
                              <a:blip r:embed="rId11"/>
                              <a:stretch/>
                            </pic:blipFill>
                            <pic:spPr bwMode="auto">
                              <a:xfrm>
                                <a:off x="0" y="0"/>
                                <a:ext cx="70421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8pt;mso-position-horizontal:absolute;mso-position-vertical-relative:text;margin-top:5.2pt;mso-position-vertical:absolute;width:55.4pt;height:40.4pt;mso-wrap-distance-left:9.0pt;mso-wrap-distance-top:0.0pt;mso-wrap-distance-right:9.0pt;mso-wrap-distance-bottom:0.0pt;" stroked="f">
                      <v:path textboxrect="0,0,0,0"/>
                      <v:imagedata r:id="rId1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1.采用SUS304 1.5㎜厚38×38㎜不锈钢方管架。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2.间隔条用1.2㎜不锈钢30×15mm方管,间距50㎜。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3.柱脚：配橡胶耐磨脚套。</w:t>
            </w:r>
            <w:r/>
          </w:p>
        </w:tc>
      </w:tr>
      <w:tr>
        <w:trPr>
          <w:trHeight w:val="140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600*900*900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12065</wp:posOffset>
                      </wp:positionV>
                      <wp:extent cx="715010" cy="549910"/>
                      <wp:effectExtent l="0" t="0" r="1270" b="13970"/>
                      <wp:wrapNone/>
                      <wp:docPr id="3" name="图片_3"/>
                      <wp:cNvGraphicFramePr/>
                      <a:graphic xmlns:a="http://schemas.openxmlformats.org/drawingml/2006/main">
                        <a:graphicData uri="http://schemas.openxmlformats.org/drawingml/2006/picture">
                          <pic:pic xmlns:pic="http://schemas.openxmlformats.org/drawingml/2006/picture">
                            <pic:nvPicPr>
                              <pic:cNvPr id="25" name="图片_3"/>
                              <pic:cNvPicPr/>
                              <pic:nvPr/>
                            </pic:nvPicPr>
                            <pic:blipFill>
                              <a:blip r:embed="rId12"/>
                              <a:stretch/>
                            </pic:blipFill>
                            <pic:spPr bwMode="auto">
                              <a:xfrm>
                                <a:off x="0" y="0"/>
                                <a:ext cx="715010" cy="549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9.8pt;mso-position-horizontal:absolute;mso-position-vertical-relative:text;margin-top:0.9pt;mso-position-vertical:absolute;width:56.3pt;height:43.3pt;mso-wrap-distance-left:9.0pt;mso-wrap-distance-top:0.0pt;mso-wrap-distance-right:9.0pt;mso-wrap-distance-bottom:0.0pt;" stroked="f">
                      <v:path textboxrect="0,0,0,0"/>
                      <v:imagedata r:id="rId1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1.采用SUS304不锈钢板,厚度1.5mm,梁用SUS304 1.2㎜厚不锈钢38×25方管满焊；台脚：2个4寸定向轮，2个4寸带刹车万向轮。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2.600*900*900。</w:t>
            </w:r>
            <w:r/>
          </w:p>
        </w:tc>
      </w:tr>
      <w:tr>
        <w:trPr>
          <w:trHeight w:val="372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1200*750*2000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wp:posOffset>
                      </wp:positionH>
                      <wp:positionV relativeFrom="paragraph">
                        <wp:posOffset>80645</wp:posOffset>
                      </wp:positionV>
                      <wp:extent cx="781050" cy="673735"/>
                      <wp:effectExtent l="0" t="0" r="11430" b="12065"/>
                      <wp:wrapNone/>
                      <wp:docPr id="4" name="图片_17"/>
                      <wp:cNvGraphicFramePr/>
                      <a:graphic xmlns:a="http://schemas.openxmlformats.org/drawingml/2006/main">
                        <a:graphicData uri="http://schemas.openxmlformats.org/drawingml/2006/picture">
                          <pic:pic xmlns:pic="http://schemas.openxmlformats.org/drawingml/2006/picture">
                            <pic:nvPicPr>
                              <pic:cNvPr id="26" name="图片_17"/>
                              <pic:cNvPicPr/>
                              <pic:nvPr/>
                            </pic:nvPicPr>
                            <pic:blipFill>
                              <a:blip r:embed="rId13"/>
                              <a:stretch/>
                            </pic:blipFill>
                            <pic:spPr bwMode="auto">
                              <a:xfrm>
                                <a:off x="0" y="0"/>
                                <a:ext cx="781050"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1pt;mso-position-horizontal:absolute;mso-position-vertical-relative:text;margin-top:6.3pt;mso-position-vertical:absolute;width:61.5pt;height:53.0pt;mso-wrap-distance-left:9.0pt;mso-wrap-distance-top:0.0pt;mso-wrap-distance-right:9.0pt;mso-wrap-distance-bottom:0.0pt;" stroked="f">
                      <v:path textboxrect="0,0,0,0"/>
                      <v:imagedata r:id="rId1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1.温度范围：冷藏室温度设置：+1℃~ -4℃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；冷冻室温度设置：+0℃~ -18℃；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2.四门带锁,自动回归门；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3.采用无CFC的环保雪种（R290)，柜体75mm环保绝缘材料；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4.制冷方式：风冷；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5.蒸发器化霜水自动蒸发；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6.可放置8*2/1GN盆,GN盆和搁物架可以自由交换；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7.浸塑层架数量（标配）：4层共8个；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8.外箱材料：SUS304不锈钢；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9.内箱材料：SUS304不锈钢；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10.可承受43℃环境温度；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11.150mm高可调子弹脚；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12.温控类型：电子温控；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13.电压/频率，整机功率：220V/50HZ，560w；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14.符合卫生标准；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ascii="SimSun" w:hAnsi="SimSun" w:eastAsia="SimSun" w:cs="SimSun"/>
                <w:color w:val="000000"/>
                <w:sz w:val="20"/>
              </w:rPr>
              <w:t xml:space="preserve">15.整体式顶置制冷系统，辅以独特的风道设计，制冷迅速均匀且方便维修。</w:t>
            </w:r>
            <w:r/>
            <w:r>
              <w:rPr>
                <w:rFonts w:hint="eastAsia" w:ascii="宋体" w:hAnsi="宋体" w:eastAsia="宋体" w:cs="宋体"/>
                <w:i w:val="0"/>
                <w:iCs w:val="0"/>
                <w:color w:val="000000"/>
                <w:sz w:val="20"/>
                <w:szCs w:val="20"/>
                <w:u w:val="none"/>
              </w:rPr>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粗加工</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12KW</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2540</wp:posOffset>
                      </wp:positionV>
                      <wp:extent cx="657225" cy="622300"/>
                      <wp:effectExtent l="0" t="0" r="13335" b="2540"/>
                      <wp:wrapNone/>
                      <wp:docPr id="5" name="图片_18"/>
                      <wp:cNvGraphicFramePr/>
                      <a:graphic xmlns:a="http://schemas.openxmlformats.org/drawingml/2006/main">
                        <a:graphicData uri="http://schemas.openxmlformats.org/drawingml/2006/picture">
                          <pic:pic xmlns:pic="http://schemas.openxmlformats.org/drawingml/2006/picture">
                            <pic:nvPicPr>
                              <pic:cNvPr id="21" name="图片_18"/>
                              <pic:cNvPicPr/>
                              <pic:nvPr/>
                            </pic:nvPicPr>
                            <pic:blipFill>
                              <a:blip r:embed="rId14"/>
                              <a:stretch/>
                            </pic:blipFill>
                            <pic:spPr bwMode="auto">
                              <a:xfrm>
                                <a:off x="0" y="0"/>
                                <a:ext cx="657225"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5.2pt;mso-position-horizontal:absolute;mso-position-vertical-relative:text;margin-top:0.2pt;mso-position-vertical:absolute;width:51.8pt;height:49.0pt;mso-wrap-distance-left:9.0pt;mso-wrap-distance-top:0.0pt;mso-wrap-distance-right:9.0pt;mso-wrap-distance-bottom:0.0pt;" stroked="f">
                      <v:path textboxrect="0,0,0,0"/>
                      <v:imagedata r:id="rId1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1.功率12千瓦380的电压；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2.额定电流：13.2A ；                                                                  3.每个小时开水量200升；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4.内胆：304保温；                                                                  5.漏掉保护器：3项5线32A ；  </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6.用线：4平方。</w:t>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67945</wp:posOffset>
                      </wp:positionV>
                      <wp:extent cx="618490" cy="593090"/>
                      <wp:effectExtent l="0" t="0" r="6350" b="1270"/>
                      <wp:wrapNone/>
                      <wp:docPr id="6" name="图片_41_SpCnt_1"/>
                      <wp:cNvGraphicFramePr/>
                      <a:graphic xmlns:a="http://schemas.openxmlformats.org/drawingml/2006/main">
                        <a:graphicData uri="http://schemas.openxmlformats.org/drawingml/2006/picture">
                          <pic:pic xmlns:pic="http://schemas.openxmlformats.org/drawingml/2006/picture">
                            <pic:nvPicPr>
                              <pic:cNvPr id="12" name="图片_41_SpCnt_1"/>
                              <pic:cNvPicPr/>
                              <pic:nvPr/>
                            </pic:nvPicPr>
                            <pic:blipFill>
                              <a:blip r:embed="rId15"/>
                              <a:stretch/>
                            </pic:blipFill>
                            <pic:spPr bwMode="auto">
                              <a:xfrm>
                                <a:off x="0" y="0"/>
                                <a:ext cx="618490" cy="593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3pt;mso-position-horizontal:absolute;mso-position-vertical-relative:text;margin-top:5.3pt;mso-position-vertical:absolute;width:48.7pt;height:46.7pt;mso-wrap-distance-left:9.0pt;mso-wrap-distance-top:0.0pt;mso-wrap-distance-right:9.0pt;mso-wrap-distance-bottom:0.0pt;" stroked="f">
                      <v:path textboxrect="0,0,0,0"/>
                      <v:imagedata r:id="rId1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1.管架SUS304 1.5㎜厚38×38㎜不锈钢方管。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2.层梁用SUS304 1.2㎜厚不锈钢38×25方管,间隔条用1.0㎜不锈钢30×15方管,骨条间距50㎜。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3.38×38不锈钢管及高度调整钢脚。</w:t>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刀具砧板组合消毒柜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1200*650*1600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303530</wp:posOffset>
                      </wp:positionV>
                      <wp:extent cx="733425" cy="723900"/>
                      <wp:effectExtent l="0" t="0" r="13335" b="7620"/>
                      <wp:wrapNone/>
                      <wp:docPr id="7" name="图片_24"/>
                      <wp:cNvGraphicFramePr/>
                      <a:graphic xmlns:a="http://schemas.openxmlformats.org/drawingml/2006/main">
                        <a:graphicData uri="http://schemas.openxmlformats.org/drawingml/2006/picture">
                          <pic:pic xmlns:pic="http://schemas.openxmlformats.org/drawingml/2006/picture">
                            <pic:nvPicPr>
                              <pic:cNvPr id="14" name="图片_24"/>
                              <pic:cNvPicPr/>
                              <pic:nvPr/>
                            </pic:nvPicPr>
                            <pic:blipFill>
                              <a:blip r:embed="rId16"/>
                              <a:stretch/>
                            </pic:blipFill>
                            <pic:spPr bwMode="auto">
                              <a:xfrm>
                                <a:off x="0" y="0"/>
                                <a:ext cx="733424"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9.8pt;mso-position-horizontal:absolute;mso-position-vertical-relative:text;margin-top:23.9pt;mso-position-vertical:absolute;width:57.8pt;height:57.0pt;mso-wrap-distance-left:9.0pt;mso-wrap-distance-top:0.0pt;mso-wrap-distance-right:9.0pt;mso-wrap-distance-bottom:0.0pt;" stroked="f">
                      <v:path textboxrect="0,0,0,0"/>
                      <v:imagedata r:id="rId1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1.选用SUS304优质不锈钢板制作，台面1.2mm，砧板消毒柜选用两辆推车设计，刀具消毒柜选用抽拉式设计，毛巾消毒柜移门带玻璃；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2.紫外线功率：17w；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3.红外线功率：300w；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4.消毒方式：紫外线；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5.消毒刀数量：20把；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6.消毒毛巾数量：24块；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7.消毒砧板数量：10块（直径50cm厚度10cm）。</w:t>
            </w:r>
            <w:r/>
          </w:p>
        </w:tc>
      </w:tr>
      <w:tr>
        <w:trPr>
          <w:trHeight w:val="38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1200*750*2000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962025</wp:posOffset>
                      </wp:positionV>
                      <wp:extent cx="781685" cy="666750"/>
                      <wp:effectExtent l="0" t="0" r="10795" b="3810"/>
                      <wp:wrapNone/>
                      <wp:docPr id="8" name="图片_17_SpCnt_1"/>
                      <wp:cNvGraphicFramePr/>
                      <a:graphic xmlns:a="http://schemas.openxmlformats.org/drawingml/2006/main">
                        <a:graphicData uri="http://schemas.openxmlformats.org/drawingml/2006/picture">
                          <pic:pic xmlns:pic="http://schemas.openxmlformats.org/drawingml/2006/picture">
                            <pic:nvPicPr>
                              <pic:cNvPr id="13" name="图片_17_SpCnt_1"/>
                              <pic:cNvPicPr/>
                              <pic:nvPr/>
                            </pic:nvPicPr>
                            <pic:blipFill>
                              <a:blip r:embed="rId17"/>
                              <a:stretch/>
                            </pic:blipFill>
                            <pic:spPr bwMode="auto">
                              <a:xfrm>
                                <a:off x="0" y="0"/>
                                <a:ext cx="781685"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5.2pt;mso-position-horizontal:absolute;mso-position-vertical-relative:text;margin-top:75.8pt;mso-position-vertical:absolute;width:61.5pt;height:52.5pt;mso-wrap-distance-left:9.0pt;mso-wrap-distance-top:0.0pt;mso-wrap-distance-right:9.0pt;mso-wrap-distance-bottom:0.0pt;" stroked="f">
                      <v:path textboxrect="0,0,0,0"/>
                      <v:imagedata r:id="rId1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1.温度范围：冷藏室温度设置：+1℃~ -4℃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；冷冻室温度设置：+0℃~ -18℃；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2.四门带锁,自动回归门；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3.采用无CFC的环保雪种（R290)，柜体75mm环保绝缘材料；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4.制冷方式：风冷；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5.蒸发器化霜水自动蒸发；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6.可放置8*2/1GN盆,GN盆和搁物架可以自由交换；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7.浸塑层架数量（标配）：4层共8个；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8.外箱材料：SUS304不锈钢；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9.内箱材料：SUS304不锈钢；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10.可承受43℃环境温度；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11.150mm高可调子弹脚；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12.温控类型：电子温控；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13.电压/频率，整机功率：220V/50HZ，560w；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14.符合卫生标准；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ascii="SimSun" w:hAnsi="SimSun" w:eastAsia="SimSun" w:cs="SimSun"/>
                <w:color w:val="000000"/>
                <w:sz w:val="20"/>
              </w:rPr>
              <w:t xml:space="preserve">15.整体式顶置制冷系统，辅以独特的风道设计，制冷迅速均匀且方便维修。</w:t>
            </w:r>
            <w:r/>
            <w:r>
              <w:rPr>
                <w:rFonts w:hint="eastAsia" w:ascii="宋体" w:hAnsi="宋体" w:eastAsia="宋体" w:cs="宋体"/>
                <w:i w:val="0"/>
                <w:iCs w:val="0"/>
                <w:color w:val="000000"/>
                <w:sz w:val="20"/>
                <w:szCs w:val="20"/>
                <w:u w:val="none"/>
              </w:rPr>
            </w:r>
            <w:r/>
          </w:p>
        </w:tc>
      </w:tr>
      <w:tr>
        <w:trPr>
          <w:trHeight w:val="175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绞肉机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双用</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209550</wp:posOffset>
                      </wp:positionV>
                      <wp:extent cx="704850" cy="658495"/>
                      <wp:effectExtent l="0" t="0" r="11430" b="12065"/>
                      <wp:wrapNone/>
                      <wp:docPr id="9" name="图片_29"/>
                      <wp:cNvGraphicFramePr/>
                      <a:graphic xmlns:a="http://schemas.openxmlformats.org/drawingml/2006/main">
                        <a:graphicData uri="http://schemas.openxmlformats.org/drawingml/2006/picture">
                          <pic:pic xmlns:pic="http://schemas.openxmlformats.org/drawingml/2006/picture">
                            <pic:nvPicPr>
                              <pic:cNvPr id="15" name="图片_29"/>
                              <pic:cNvPicPr/>
                              <pic:nvPr/>
                            </pic:nvPicPr>
                            <pic:blipFill>
                              <a:blip r:embed="rId18"/>
                              <a:stretch/>
                            </pic:blipFill>
                            <pic:spPr bwMode="auto">
                              <a:xfrm>
                                <a:off x="0" y="0"/>
                                <a:ext cx="704850" cy="65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2.7pt;mso-position-horizontal:absolute;mso-position-vertical-relative:text;margin-top:16.5pt;mso-position-vertical:absolute;width:55.5pt;height:51.8pt;mso-wrap-distance-left:9.0pt;mso-wrap-distance-top:0.0pt;mso-wrap-distance-right:9.0pt;mso-wrap-distance-bottom:0.0pt;" stroked="f">
                      <v:path textboxrect="0,0,0,0"/>
                      <v:imagedata r:id="rId1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1.本机采用不锈钢材料，具有外型美观、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体积小巧、结构紧凑、拆洗方便等特点。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 HX-22C。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3.电机功率：2.2Kw电压：220V频率：50HZ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生产效率：150kg/h主轴转速：210r/min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4.毛重：35Kg。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5.外形尺寸：500*285*500mm。</w:t>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95250</wp:posOffset>
                      </wp:positionV>
                      <wp:extent cx="752475" cy="657860"/>
                      <wp:effectExtent l="0" t="0" r="9525" b="12700"/>
                      <wp:wrapNone/>
                      <wp:docPr id="10" name="图片_17_SpCnt_2"/>
                      <wp:cNvGraphicFramePr/>
                      <a:graphic xmlns:a="http://schemas.openxmlformats.org/drawingml/2006/main">
                        <a:graphicData uri="http://schemas.openxmlformats.org/drawingml/2006/picture">
                          <pic:pic xmlns:pic="http://schemas.openxmlformats.org/drawingml/2006/picture">
                            <pic:nvPicPr>
                              <pic:cNvPr id="16" name="图片_17_SpCnt_2"/>
                              <pic:cNvPicPr/>
                              <pic:nvPr/>
                            </pic:nvPicPr>
                            <pic:blipFill>
                              <a:blip r:embed="rId19"/>
                              <a:stretch/>
                            </pic:blipFill>
                            <pic:spPr bwMode="auto">
                              <a:xfrm>
                                <a:off x="0" y="0"/>
                                <a:ext cx="75247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6.8pt;mso-position-horizontal:absolute;mso-position-vertical-relative:text;margin-top:7.5pt;mso-position-vertical:absolute;width:59.2pt;height:51.8pt;mso-wrap-distance-left:9.0pt;mso-wrap-distance-top:0.0pt;mso-wrap-distance-right:9.0pt;mso-wrap-distance-bottom:0.0pt;" stroked="f">
                      <v:path textboxrect="0,0,0,0"/>
                      <v:imagedata r:id="rId1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鸭颈式</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125095</wp:posOffset>
                      </wp:positionV>
                      <wp:extent cx="657225" cy="648970"/>
                      <wp:effectExtent l="0" t="0" r="13335" b="6350"/>
                      <wp:wrapNone/>
                      <wp:docPr id="11" name="图片_11"/>
                      <wp:cNvGraphicFramePr/>
                      <a:graphic xmlns:a="http://schemas.openxmlformats.org/drawingml/2006/main">
                        <a:graphicData uri="http://schemas.openxmlformats.org/drawingml/2006/picture">
                          <pic:pic xmlns:pic="http://schemas.openxmlformats.org/drawingml/2006/picture">
                            <pic:nvPicPr>
                              <pic:cNvPr id="20" name="图片_11"/>
                              <pic:cNvPicPr/>
                              <pic:nvPr/>
                            </pic:nvPicPr>
                            <pic:blipFill>
                              <a:blip r:embed="rId20"/>
                              <a:stretch/>
                            </pic:blipFill>
                            <pic:spPr bwMode="auto">
                              <a:xfrm>
                                <a:off x="0" y="0"/>
                                <a:ext cx="657225" cy="64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0.5pt;mso-position-horizontal:absolute;mso-position-vertical-relative:text;margin-top:9.8pt;mso-position-vertical:absolute;width:51.8pt;height:51.1pt;mso-wrap-distance-left:9.0pt;mso-wrap-distance-top:0.0pt;mso-wrap-distance-right:9.0pt;mso-wrap-distance-bottom:0.0pt;" stroked="f">
                      <v:path textboxrect="0,0,0,0"/>
                      <v:imagedata r:id="rId2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1.座台式双孔双温、主体黄铜铸造表面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抛光镀铬处理；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2.配1/4转优质陶瓷阀芯一字型手柄；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3.十寸（254mm）平颈水嘴，360度可旋转；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4.开孔尺寸25mm*2,左右开孔间距203mm(偏芯设计可调范围15mm)，进水接口为标准1/2"外螺纹；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5.总高度230mm,出水口距台面 149mm。</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平台水池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208280</wp:posOffset>
                      </wp:positionV>
                      <wp:extent cx="752475" cy="551815"/>
                      <wp:effectExtent l="0" t="0" r="9525" b="12065"/>
                      <wp:wrapNone/>
                      <wp:docPr id="12" name="图片_20"/>
                      <wp:cNvGraphicFramePr/>
                      <a:graphic xmlns:a="http://schemas.openxmlformats.org/drawingml/2006/main">
                        <a:graphicData uri="http://schemas.openxmlformats.org/drawingml/2006/picture">
                          <pic:pic xmlns:pic="http://schemas.openxmlformats.org/drawingml/2006/picture">
                            <pic:nvPicPr>
                              <pic:cNvPr id="23" name="图片_20"/>
                              <pic:cNvPicPr/>
                              <pic:nvPr/>
                            </pic:nvPicPr>
                            <pic:blipFill>
                              <a:blip r:embed="rId21"/>
                              <a:stretch/>
                            </pic:blipFill>
                            <pic:spPr bwMode="auto">
                              <a:xfrm>
                                <a:off x="0" y="0"/>
                                <a:ext cx="752475"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8.2pt;mso-position-horizontal:absolute;mso-position-vertical-relative:text;margin-top:16.4pt;mso-position-vertical:absolute;width:59.2pt;height:43.4pt;mso-wrap-distance-left:9.0pt;mso-wrap-distance-top:0.0pt;mso-wrap-distance-right:9.0pt;mso-wrap-distance-bottom:0.0pt;" stroked="f">
                      <v:path textboxrect="0,0,0,0"/>
                      <v:imagedata r:id="rId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245745</wp:posOffset>
                      </wp:positionV>
                      <wp:extent cx="808990" cy="593725"/>
                      <wp:effectExtent l="0" t="0" r="13970" b="635"/>
                      <wp:wrapNone/>
                      <wp:docPr id="13" name="图片_32"/>
                      <wp:cNvGraphicFramePr/>
                      <a:graphic xmlns:a="http://schemas.openxmlformats.org/drawingml/2006/main">
                        <a:graphicData uri="http://schemas.openxmlformats.org/drawingml/2006/picture">
                          <pic:pic xmlns:pic="http://schemas.openxmlformats.org/drawingml/2006/picture">
                            <pic:nvPicPr>
                              <pic:cNvPr id="24" name="图片_32"/>
                              <pic:cNvPicPr/>
                              <pic:nvPr/>
                            </pic:nvPicPr>
                            <pic:blipFill>
                              <a:blip r:embed="rId22"/>
                              <a:stretch/>
                            </pic:blipFill>
                            <pic:spPr bwMode="auto">
                              <a:xfrm>
                                <a:off x="0" y="0"/>
                                <a:ext cx="808989" cy="593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4.5pt;mso-position-horizontal:absolute;mso-position-vertical-relative:text;margin-top:19.3pt;mso-position-vertical:absolute;width:63.7pt;height:46.8pt;mso-wrap-distance-left:9.0pt;mso-wrap-distance-top:0.0pt;mso-wrap-distance-right:9.0pt;mso-wrap-distance-bottom:0.0pt;" stroked="f">
                      <v:path textboxrect="0,0,0,0"/>
                      <v:imagedata r:id="rId2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6.不锈钢下水器。</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清洗去皮机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r>
            <w:r>
              <w:rPr>
                <w:rFonts w:ascii="SimSun" w:hAnsi="SimSun" w:eastAsia="SimSun" w:cs="SimSun"/>
                <w:color w:val="000000"/>
                <w:sz w:val="20"/>
              </w:rPr>
              <w:t xml:space="preserve">1270*690*960</w:t>
            </w: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55245</wp:posOffset>
                      </wp:positionV>
                      <wp:extent cx="723265" cy="725805"/>
                      <wp:effectExtent l="0" t="0" r="8255" b="5715"/>
                      <wp:wrapNone/>
                      <wp:docPr id="14" name="图片_27"/>
                      <wp:cNvGraphicFramePr/>
                      <a:graphic xmlns:a="http://schemas.openxmlformats.org/drawingml/2006/main">
                        <a:graphicData uri="http://schemas.openxmlformats.org/drawingml/2006/picture">
                          <pic:pic xmlns:pic="http://schemas.openxmlformats.org/drawingml/2006/picture">
                            <pic:nvPicPr>
                              <pic:cNvPr id="30" name="图片_27"/>
                              <pic:cNvPicPr/>
                              <pic:nvPr/>
                            </pic:nvPicPr>
                            <pic:blipFill>
                              <a:blip r:embed="rId23"/>
                              <a:stretch/>
                            </pic:blipFill>
                            <pic:spPr bwMode="auto">
                              <a:xfrm>
                                <a:off x="0" y="0"/>
                                <a:ext cx="72326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8.2pt;mso-position-horizontal:absolute;mso-position-vertical-relative:text;margin-top:4.3pt;mso-position-vertical:absolute;width:56.9pt;height:57.1pt;mso-wrap-distance-left:9.0pt;mso-wrap-distance-top:0.0pt;mso-wrap-distance-right:9.0pt;mso-wrap-distance-bottom:0.0pt;" stroked="f">
                      <v:path textboxrect="0,0,0,0"/>
                      <v:imagedata r:id="rId2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1.外形尺寸：1270*690*960；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2.机器重量：100KG；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3.产量：450KG/HR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4.电源：380V 三相；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5.功率：1.1KW。</w:t>
            </w:r>
            <w:r/>
          </w:p>
        </w:tc>
      </w:tr>
      <w:tr>
        <w:trPr>
          <w:trHeight w:val="184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1100*530*1000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201295</wp:posOffset>
                      </wp:positionV>
                      <wp:extent cx="704215" cy="657860"/>
                      <wp:effectExtent l="0" t="0" r="12065" b="12700"/>
                      <wp:wrapNone/>
                      <wp:docPr id="15" name="图片_5"/>
                      <wp:cNvGraphicFramePr/>
                      <a:graphic xmlns:a="http://schemas.openxmlformats.org/drawingml/2006/main">
                        <a:graphicData uri="http://schemas.openxmlformats.org/drawingml/2006/picture">
                          <pic:pic xmlns:pic="http://schemas.openxmlformats.org/drawingml/2006/picture">
                            <pic:nvPicPr>
                              <pic:cNvPr id="18" name="图片_5"/>
                              <pic:cNvPicPr/>
                              <pic:nvPr/>
                            </pic:nvPicPr>
                            <pic:blipFill>
                              <a:blip r:embed="rId24"/>
                              <a:stretch/>
                            </pic:blipFill>
                            <pic:spPr bwMode="auto">
                              <a:xfrm>
                                <a:off x="0" y="0"/>
                                <a:ext cx="70421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9.8pt;mso-position-horizontal:absolute;mso-position-vertical-relative:text;margin-top:15.8pt;mso-position-vertical:absolute;width:55.4pt;height:51.8pt;mso-wrap-distance-left:9.0pt;mso-wrap-distance-top:0.0pt;mso-wrap-distance-right:9.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1.切割尺寸：1-65mm（可调）；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2.机器重量：135KG；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3.产量：300-1000KG/HR；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4.电源：380V 三相；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5.输送带宽：118MM；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6.功率：1.87KW；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7.可切丁、片、丝刀盘可更换。</w:t>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38735</wp:posOffset>
                      </wp:positionV>
                      <wp:extent cx="770890" cy="767715"/>
                      <wp:effectExtent l="0" t="0" r="6350" b="9525"/>
                      <wp:wrapNone/>
                      <wp:docPr id="16" name="图片_20_SpCnt_1"/>
                      <wp:cNvGraphicFramePr/>
                      <a:graphic xmlns:a="http://schemas.openxmlformats.org/drawingml/2006/main">
                        <a:graphicData uri="http://schemas.openxmlformats.org/drawingml/2006/picture">
                          <pic:pic xmlns:pic="http://schemas.openxmlformats.org/drawingml/2006/picture">
                            <pic:nvPicPr>
                              <pic:cNvPr id="27" name="图片_20_SpCnt_1"/>
                              <pic:cNvPicPr/>
                              <pic:nvPr/>
                            </pic:nvPicPr>
                            <pic:blipFill>
                              <a:blip r:embed="rId25"/>
                              <a:stretch/>
                            </pic:blipFill>
                            <pic:spPr bwMode="auto">
                              <a:xfrm>
                                <a:off x="0" y="0"/>
                                <a:ext cx="770890"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7.5pt;mso-position-horizontal:absolute;mso-position-vertical-relative:text;margin-top:3.0pt;mso-position-vertical:absolute;width:60.7pt;height:60.4pt;mso-wrap-distance-left:9.0pt;mso-wrap-distance-top:0.0pt;mso-wrap-distance-right:9.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1.环氧外壳；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2.敞开式；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3.软管长度：15米。</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洗碗间</w:t>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64770</wp:posOffset>
                      </wp:positionV>
                      <wp:extent cx="771525" cy="770255"/>
                      <wp:effectExtent l="0" t="0" r="5715" b="6985"/>
                      <wp:wrapNone/>
                      <wp:docPr id="17" name="图片_20_SpCnt_2"/>
                      <wp:cNvGraphicFramePr/>
                      <a:graphic xmlns:a="http://schemas.openxmlformats.org/drawingml/2006/main">
                        <a:graphicData uri="http://schemas.openxmlformats.org/drawingml/2006/picture">
                          <pic:pic xmlns:pic="http://schemas.openxmlformats.org/drawingml/2006/picture">
                            <pic:nvPicPr>
                              <pic:cNvPr id="29" name="图片_20_SpCnt_2"/>
                              <pic:cNvPicPr/>
                              <pic:nvPr/>
                            </pic:nvPicPr>
                            <pic:blipFill>
                              <a:blip r:embed="rId26"/>
                              <a:stretch/>
                            </pic:blipFill>
                            <pic:spPr bwMode="auto">
                              <a:xfrm>
                                <a:off x="0" y="0"/>
                                <a:ext cx="77152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5.2pt;mso-position-horizontal:absolute;mso-position-vertical-relative:text;margin-top:5.1pt;mso-position-vertical:absolute;width:60.8pt;height:60.6pt;mso-wrap-distance-left:9.0pt;mso-wrap-distance-top:0.0pt;mso-wrap-distance-right:9.0pt;mso-wrap-distance-bottom:0.0pt;" stroked="f">
                      <v:path textboxrect="0,0,0,0"/>
                      <v:imagedata r:id="rId2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1.环氧外壳；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2.敞开式；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3.软管长度：15米。</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900*500*900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133985</wp:posOffset>
                      </wp:positionV>
                      <wp:extent cx="542925" cy="485140"/>
                      <wp:effectExtent l="0" t="0" r="5715" b="2540"/>
                      <wp:wrapNone/>
                      <wp:docPr id="18" name="图片_22"/>
                      <wp:cNvGraphicFramePr/>
                      <a:graphic xmlns:a="http://schemas.openxmlformats.org/drawingml/2006/main">
                        <a:graphicData uri="http://schemas.openxmlformats.org/drawingml/2006/picture">
                          <pic:pic xmlns:pic="http://schemas.openxmlformats.org/drawingml/2006/picture">
                            <pic:nvPicPr>
                              <pic:cNvPr id="28" name="图片_22"/>
                              <pic:cNvPicPr/>
                              <pic:nvPr/>
                            </pic:nvPicPr>
                            <pic:blipFill>
                              <a:blip r:embed="rId27"/>
                              <a:stretch/>
                            </pic:blipFill>
                            <pic:spPr bwMode="auto">
                              <a:xfrm>
                                <a:off x="0" y="0"/>
                                <a:ext cx="542925"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4.3pt;mso-position-horizontal:absolute;mso-position-vertical-relative:text;margin-top:10.5pt;mso-position-vertical:absolute;width:42.8pt;height:38.2pt;mso-wrap-distance-left:9.0pt;mso-wrap-distance-top:0.0pt;mso-wrap-distance-right:9.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材料采用SUS304不锈钢板制作，珐纹处理，氩焊处满焊，抛光打磨。层板厚度δ=1.5mm，把手采用φ25*1.2mm不锈钢圆管，五寸加重静音脚轮，两定两转，转向带刹车。</w:t>
            </w:r>
            <w:r/>
          </w:p>
        </w:tc>
      </w:tr>
      <w:tr>
        <w:trPr>
          <w:trHeight w:val="142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碗柜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95250</wp:posOffset>
                      </wp:positionV>
                      <wp:extent cx="570865" cy="610235"/>
                      <wp:effectExtent l="0" t="0" r="8255" b="14604"/>
                      <wp:wrapNone/>
                      <wp:docPr id="19" name="Picture_67"/>
                      <wp:cNvGraphicFramePr/>
                      <a:graphic xmlns:a="http://schemas.openxmlformats.org/drawingml/2006/main">
                        <a:graphicData uri="http://schemas.openxmlformats.org/drawingml/2006/picture">
                          <pic:pic xmlns:pic="http://schemas.openxmlformats.org/drawingml/2006/picture">
                            <pic:nvPicPr>
                              <pic:cNvPr id="33" name="Picture_67"/>
                              <pic:cNvPicPr/>
                              <pic:nvPr/>
                            </pic:nvPicPr>
                            <pic:blipFill>
                              <a:blip r:embed="rId28"/>
                              <a:stretch/>
                            </pic:blipFill>
                            <pic:spPr bwMode="auto">
                              <a:xfrm>
                                <a:off x="0" y="0"/>
                                <a:ext cx="57086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4.3pt;mso-position-horizontal:absolute;mso-position-vertical-relative:text;margin-top:7.5pt;mso-position-vertical:absolute;width:44.9pt;height:48.0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层板厚度δ=1.5mm，侧板、门板厚度δ=1.2mm，工作柜储的趟门选用悬挂式，此工艺使工作台无卫生死角，完全达到卫生要求；层板、底下部采用横向加强筋加固,脚为高度可调不锈钢调整脚。</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1380*680*1800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86360</wp:posOffset>
                      </wp:positionH>
                      <wp:positionV relativeFrom="paragraph">
                        <wp:posOffset>400685</wp:posOffset>
                      </wp:positionV>
                      <wp:extent cx="734060" cy="725170"/>
                      <wp:effectExtent l="0" t="0" r="12700" b="6350"/>
                      <wp:wrapNone/>
                      <wp:docPr id="20" name="图片_87"/>
                      <wp:cNvGraphicFramePr/>
                      <a:graphic xmlns:a="http://schemas.openxmlformats.org/drawingml/2006/main">
                        <a:graphicData uri="http://schemas.openxmlformats.org/drawingml/2006/picture">
                          <pic:pic xmlns:pic="http://schemas.openxmlformats.org/drawingml/2006/picture">
                            <pic:nvPicPr>
                              <pic:cNvPr id="31" name="图片_87"/>
                              <pic:cNvPicPr/>
                              <pic:nvPr/>
                            </pic:nvPicPr>
                            <pic:blipFill>
                              <a:blip r:embed="rId29"/>
                              <a:stretch/>
                            </pic:blipFill>
                            <pic:spPr bwMode="auto">
                              <a:xfrm>
                                <a:off x="0" y="0"/>
                                <a:ext cx="734060"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6.8pt;mso-position-horizontal:absolute;mso-position-vertical-relative:text;margin-top:31.5pt;mso-position-vertical:absolute;width:57.8pt;height:57.1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1.整机采用无磁不锈钢，门封条密闭工艺，隔热保温；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2.双机热风循环系统+臭氧，可对餐具多方位消毒杀菌；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3.微电脑智能可调温调时控制;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4.双开门650L及以上大容量；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5.全不锈钢重力脚配置，稳定柜体;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6.功率：4KW/220V 。</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66040</wp:posOffset>
                      </wp:positionV>
                      <wp:extent cx="808990" cy="715010"/>
                      <wp:effectExtent l="0" t="0" r="13970" b="1270"/>
                      <wp:wrapNone/>
                      <wp:docPr id="21" name="图片_32_SpCnt_1"/>
                      <wp:cNvGraphicFramePr/>
                      <a:graphic xmlns:a="http://schemas.openxmlformats.org/drawingml/2006/main">
                        <a:graphicData uri="http://schemas.openxmlformats.org/drawingml/2006/picture">
                          <pic:pic xmlns:pic="http://schemas.openxmlformats.org/drawingml/2006/picture">
                            <pic:nvPicPr>
                              <pic:cNvPr id="34" name="图片_32_SpCnt_1"/>
                              <pic:cNvPicPr/>
                              <pic:nvPr/>
                            </pic:nvPicPr>
                            <pic:blipFill>
                              <a:blip r:embed="rId30"/>
                              <a:stretch/>
                            </pic:blipFill>
                            <pic:spPr bwMode="auto">
                              <a:xfrm>
                                <a:off x="0" y="0"/>
                                <a:ext cx="808989"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4.5pt;mso-position-horizontal:absolute;mso-position-vertical-relative:text;margin-top:5.2pt;mso-position-vertical:absolute;width:63.7pt;height:56.3pt;mso-wrap-distance-left:9.0pt;mso-wrap-distance-top:0.0pt;mso-wrap-distance-right:9.0pt;mso-wrap-distance-bottom:0.0pt;" stroked="f">
                      <v:path textboxrect="0,0,0,0"/>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6.不锈钢下水器。</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鸭颈式</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93980</wp:posOffset>
                      </wp:positionV>
                      <wp:extent cx="685800" cy="714375"/>
                      <wp:effectExtent l="0" t="0" r="0" b="1905"/>
                      <wp:wrapNone/>
                      <wp:docPr id="22" name="图片_11_SpCnt_3"/>
                      <wp:cNvGraphicFramePr/>
                      <a:graphic xmlns:a="http://schemas.openxmlformats.org/drawingml/2006/main">
                        <a:graphicData uri="http://schemas.openxmlformats.org/drawingml/2006/picture">
                          <pic:pic xmlns:pic="http://schemas.openxmlformats.org/drawingml/2006/picture">
                            <pic:nvPicPr>
                              <pic:cNvPr id="40" name="图片_11_SpCnt_3"/>
                              <pic:cNvPicPr/>
                              <pic:nvPr/>
                            </pic:nvPicPr>
                            <pic:blipFill>
                              <a:blip r:embed="rId31"/>
                              <a:stretch/>
                            </pic:blipFill>
                            <pic:spPr bwMode="auto">
                              <a:xfrm>
                                <a:off x="0" y="0"/>
                                <a:ext cx="685800"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9.8pt;mso-position-horizontal:absolute;mso-position-vertical-relative:text;margin-top:7.4pt;mso-position-vertical:absolute;width:54.0pt;height:56.2pt;mso-wrap-distance-left:9.0pt;mso-wrap-distance-top:0.0pt;mso-wrap-distance-right:9.0pt;mso-wrap-distance-bottom:0.0pt;" stroked="f">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1.座台式双孔双温、主体黄铜铸造表面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抛光镀铬处理；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2.配1/4转优质陶瓷阀芯一字型手柄；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3.十寸（254mm）平颈水嘴，360度可旋转；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4.开孔尺寸25mm*2,左右开孔间距203mm(偏芯设计可调范围15mm)，进水接口为标准1/2"外螺纹；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5.总高度230mm,出水口距台面 149mm。</w:t>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隧道式洗碗机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468630</wp:posOffset>
                      </wp:positionV>
                      <wp:extent cx="742950" cy="599440"/>
                      <wp:effectExtent l="0" t="0" r="3810" b="10160"/>
                      <wp:wrapNone/>
                      <wp:docPr id="23" name="图片_5_SpCnt_1"/>
                      <wp:cNvGraphicFramePr/>
                      <a:graphic xmlns:a="http://schemas.openxmlformats.org/drawingml/2006/main">
                        <a:graphicData uri="http://schemas.openxmlformats.org/drawingml/2006/picture">
                          <pic:pic xmlns:pic="http://schemas.openxmlformats.org/drawingml/2006/picture">
                            <pic:nvPicPr>
                              <pic:cNvPr id="36" name="图片_5_SpCnt_1"/>
                              <pic:cNvPicPr/>
                              <pic:nvPr/>
                            </pic:nvPicPr>
                            <pic:blipFill>
                              <a:blip r:embed="rId32"/>
                              <a:stretch/>
                            </pic:blipFill>
                            <pic:spPr bwMode="auto">
                              <a:xfrm>
                                <a:off x="0" y="0"/>
                                <a:ext cx="742950" cy="59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9.0pt;mso-position-horizontal:absolute;mso-position-vertical-relative:text;margin-top:36.9pt;mso-position-vertical:absolute;width:58.5pt;height:47.2pt;mso-wrap-distance-left:9.0pt;mso-wrap-distance-top:0.0pt;mso-wrap-distance-right:9.0pt;mso-wrap-distance-bottom:0.0pt;" stroked="f">
                      <v:path textboxrect="0,0,0,0"/>
                      <v:imagedata r:id="rId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1.液晶显示屏面板，LED温度显示设计；钢板采用国内优质板材含8个镍的304国标钢（1.2-3.0mm)，英国锻造覆膜技术，抗氧化耐腐蚀。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2.洗涤能力：每小时2800-4200碟；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3.功率：70kw、380V；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4.电缆、国标：3+35²+2；  </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5.空开|三项漏电保护：160A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6.双主洗双漂洗双烘干。                                 </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气泡浸泡池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46990</wp:posOffset>
                      </wp:positionV>
                      <wp:extent cx="762635" cy="630555"/>
                      <wp:effectExtent l="0" t="0" r="14604" b="9525"/>
                      <wp:wrapNone/>
                      <wp:docPr id="24" name="图片_120"/>
                      <wp:cNvGraphicFramePr/>
                      <a:graphic xmlns:a="http://schemas.openxmlformats.org/drawingml/2006/main">
                        <a:graphicData uri="http://schemas.openxmlformats.org/drawingml/2006/picture">
                          <pic:pic xmlns:pic="http://schemas.openxmlformats.org/drawingml/2006/picture">
                            <pic:nvPicPr>
                              <pic:cNvPr id="35" name="图片_120"/>
                              <pic:cNvPicPr/>
                              <pic:nvPr/>
                            </pic:nvPicPr>
                            <pic:blipFill>
                              <a:blip r:embed="rId33"/>
                              <a:stretch/>
                            </pic:blipFill>
                            <pic:spPr bwMode="auto">
                              <a:xfrm>
                                <a:off x="0" y="0"/>
                                <a:ext cx="762635" cy="630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5.9pt;mso-position-horizontal:absolute;mso-position-vertical-relative:text;margin-top:3.7pt;mso-position-vertical:absolute;width:60.0pt;height:49.6pt;mso-wrap-distance-left:9.0pt;mso-wrap-distance-top:0.0pt;mso-wrap-distance-right:9.0pt;mso-wrap-distance-bottom:0.0pt;" stroked="f">
                      <v:path textboxrect="0,0,0,0"/>
                      <v:imagedata r:id="rId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1.1500*800*800（长*宽*高mm）；                                              2.电压：380V； 整机功率：9kW；                                                   3.采用SUS304不锈钢板厚度1.0mm。                                                 </w:t>
            </w:r>
            <w:r/>
          </w:p>
        </w:tc>
      </w:tr>
      <w:tr>
        <w:trPr>
          <w:trHeight w:val="97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移动接餐台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65405</wp:posOffset>
                      </wp:positionV>
                      <wp:extent cx="723900" cy="437515"/>
                      <wp:effectExtent l="0" t="0" r="7620" b="4445"/>
                      <wp:wrapNone/>
                      <wp:docPr id="25" name="图片_13"/>
                      <wp:cNvGraphicFramePr/>
                      <a:graphic xmlns:a="http://schemas.openxmlformats.org/drawingml/2006/main">
                        <a:graphicData uri="http://schemas.openxmlformats.org/drawingml/2006/picture">
                          <pic:pic xmlns:pic="http://schemas.openxmlformats.org/drawingml/2006/picture">
                            <pic:nvPicPr>
                              <pic:cNvPr id="37" name="图片_13"/>
                              <pic:cNvPicPr/>
                              <pic:nvPr/>
                            </pic:nvPicPr>
                            <pic:blipFill>
                              <a:blip r:embed="rId34"/>
                              <a:stretch/>
                            </pic:blipFill>
                            <pic:spPr bwMode="auto">
                              <a:xfrm>
                                <a:off x="0" y="0"/>
                                <a:ext cx="72390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6.8pt;mso-position-horizontal:absolute;mso-position-vertical-relative:text;margin-top:5.1pt;mso-position-vertical:absolute;width:57.0pt;height:34.4pt;mso-wrap-distance-left:9.0pt;mso-wrap-distance-top:0.0pt;mso-wrap-distance-right:9.0pt;mso-wrap-distance-bottom:0.0pt;" stroked="f">
                      <v:path textboxrect="0,0,0,0"/>
                      <v:imagedata r:id="rId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材料采用SUS304不锈钢板制作，珐纹处理，氩焊处满焊，抛光打磨。台面厚度δ=1.5mm，下层板厚度δ=1.2mm，腿采用φ38*1.2mm圆管制作,采用不锈钢子弹脚。</w:t>
            </w:r>
            <w:r/>
          </w:p>
        </w:tc>
      </w:tr>
      <w:tr>
        <w:trPr>
          <w:trHeight w:val="121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接气罩</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6000*1300*500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66675</wp:posOffset>
                      </wp:positionV>
                      <wp:extent cx="771525" cy="580390"/>
                      <wp:effectExtent l="0" t="0" r="5715" b="13970"/>
                      <wp:wrapNone/>
                      <wp:docPr id="26" name="图片_74"/>
                      <wp:cNvGraphicFramePr/>
                      <a:graphic xmlns:a="http://schemas.openxmlformats.org/drawingml/2006/main">
                        <a:graphicData uri="http://schemas.openxmlformats.org/drawingml/2006/picture">
                          <pic:pic xmlns:pic="http://schemas.openxmlformats.org/drawingml/2006/picture">
                            <pic:nvPicPr>
                              <pic:cNvPr id="38" name="图片_74"/>
                              <pic:cNvPicPr/>
                              <pic:nvPr/>
                            </pic:nvPicPr>
                            <pic:blipFill>
                              <a:blip r:embed="rId35"/>
                              <a:stretch/>
                            </pic:blipFill>
                            <pic:spPr bwMode="auto">
                              <a:xfrm>
                                <a:off x="0" y="0"/>
                                <a:ext cx="771525"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8pt;mso-position-horizontal:absolute;mso-position-vertical-relative:text;margin-top:5.2pt;mso-position-vertical:absolute;width:60.8pt;height:45.7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优质不锈钢制造；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壳体面板304厚度1.2mm，加强筋1.0mm；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配双层隔油网，滴油杯及防潮灯；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配英式防爆灯座，电源线套管丝牙接驳。  </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特训餐具专用间</w:t>
            </w:r>
            <w:r/>
          </w:p>
        </w:tc>
      </w:tr>
      <w:tr>
        <w:trPr>
          <w:trHeight w:val="196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238760</wp:posOffset>
                      </wp:positionV>
                      <wp:extent cx="685165" cy="627380"/>
                      <wp:effectExtent l="0" t="0" r="635" b="12700"/>
                      <wp:wrapNone/>
                      <wp:docPr id="27" name="图片_41_SpCnt_2"/>
                      <wp:cNvGraphicFramePr/>
                      <a:graphic xmlns:a="http://schemas.openxmlformats.org/drawingml/2006/main">
                        <a:graphicData uri="http://schemas.openxmlformats.org/drawingml/2006/picture">
                          <pic:pic xmlns:pic="http://schemas.openxmlformats.org/drawingml/2006/picture">
                            <pic:nvPicPr>
                              <pic:cNvPr id="39" name="图片_41_SpCnt_2"/>
                              <pic:cNvPicPr/>
                              <pic:nvPr/>
                            </pic:nvPicPr>
                            <pic:blipFill>
                              <a:blip r:embed="rId36"/>
                              <a:stretch/>
                            </pic:blipFill>
                            <pic:spPr bwMode="auto">
                              <a:xfrm>
                                <a:off x="0" y="0"/>
                                <a:ext cx="685165" cy="627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11.2pt;mso-position-horizontal:absolute;mso-position-vertical-relative:text;margin-top:18.8pt;mso-position-vertical:absolute;width:53.9pt;height:49.4pt;mso-wrap-distance-left:9.0pt;mso-wrap-distance-top:0.0pt;mso-wrap-distance-right:9.0pt;mso-wrap-distance-bottom:0.0pt;" stroked="f">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1.产品名称：65升保温箱；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2.型号：SJ65  净重 NW(kg)：6.79kg；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3.颜色：蓝色  毛重 GW(kg)：8.05kg；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4.外尺寸EST.SIZE(cm)：63X48X37 配 置 ：2200克冰盒2个；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5.内尺寸INT.SIZE(cm)：56X43X31；</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6.艺工吹塑工艺产品材Material       PE/PU/PP； </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7.保冷时间 24~72小时以上；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8.箱规CARTONSPEC(cm) 64.5X49X39 装箱数 PCS：1PCS；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9.箱体材料 内外表面PE塑料，中间高质量的PU保温层；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10.产品用途 冷藏(药品、疫苗、血液、胰岛素、医疗器械等)、冷链储运。</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600*900*900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77470</wp:posOffset>
                      </wp:positionV>
                      <wp:extent cx="715010" cy="580390"/>
                      <wp:effectExtent l="0" t="0" r="1270" b="13970"/>
                      <wp:wrapNone/>
                      <wp:docPr id="28" name="图片_3_SpCnt_1"/>
                      <wp:cNvGraphicFramePr/>
                      <a:graphic xmlns:a="http://schemas.openxmlformats.org/drawingml/2006/main">
                        <a:graphicData uri="http://schemas.openxmlformats.org/drawingml/2006/picture">
                          <pic:pic xmlns:pic="http://schemas.openxmlformats.org/drawingml/2006/picture">
                            <pic:nvPicPr>
                              <pic:cNvPr id="11" name="图片_3_SpCnt_1"/>
                              <pic:cNvPicPr/>
                              <pic:nvPr/>
                            </pic:nvPicPr>
                            <pic:blipFill>
                              <a:blip r:embed="rId37"/>
                              <a:stretch/>
                            </pic:blipFill>
                            <pic:spPr bwMode="auto">
                              <a:xfrm>
                                <a:off x="0" y="0"/>
                                <a:ext cx="71501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9.0pt;mso-position-horizontal:absolute;mso-position-vertical-relative:text;margin-top:6.1pt;mso-position-vertical:absolute;width:56.3pt;height:45.7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1.采用SUS304不锈钢板,厚度1.5mm,梁用SUS304 1.2㎜厚不锈钢38×25方管满焊；台脚：2个4寸定向轮，2个4寸带刹车万向轮。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2.600*900*900。</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66040</wp:posOffset>
                      </wp:positionV>
                      <wp:extent cx="618490" cy="628015"/>
                      <wp:effectExtent l="0" t="0" r="6350" b="12065"/>
                      <wp:wrapNone/>
                      <wp:docPr id="29" name="图片_41_SpCnt_3"/>
                      <wp:cNvGraphicFramePr/>
                      <a:graphic xmlns:a="http://schemas.openxmlformats.org/drawingml/2006/main">
                        <a:graphicData uri="http://schemas.openxmlformats.org/drawingml/2006/picture">
                          <pic:pic xmlns:pic="http://schemas.openxmlformats.org/drawingml/2006/picture">
                            <pic:nvPicPr>
                              <pic:cNvPr id="65" name="图片_41_SpCnt_3"/>
                              <pic:cNvPicPr/>
                              <pic:nvPr/>
                            </pic:nvPicPr>
                            <pic:blipFill>
                              <a:blip r:embed="rId10"/>
                              <a:stretch/>
                            </pic:blipFill>
                            <pic:spPr bwMode="auto">
                              <a:xfrm>
                                <a:off x="0" y="0"/>
                                <a:ext cx="61849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4.3pt;mso-position-horizontal:absolute;mso-position-vertical-relative:text;margin-top:5.2pt;mso-position-vertical:absolute;width:48.7pt;height:49.4pt;mso-wrap-distance-left:9.0pt;mso-wrap-distance-top:0.0pt;mso-wrap-distance-right:9.0pt;mso-wrap-distance-bottom:0.0pt;" stroked="f">
                      <v:path textboxrect="0,0,0,0"/>
                      <v:imagedata r:id="rId1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1.管架SUS304 1.5㎜厚38×38㎜不锈钢方管。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2.层梁用SUS304 1.2㎜厚不锈钢38×25方管,间隔条用1.0㎜不锈钢30×15方管,骨条间距50㎜。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3.38×38不锈钢管及高度调整钢脚。</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67945</wp:posOffset>
                      </wp:positionV>
                      <wp:extent cx="771525" cy="684530"/>
                      <wp:effectExtent l="0" t="0" r="5715" b="1270"/>
                      <wp:wrapNone/>
                      <wp:docPr id="30" name="图片_20_SpCnt_3"/>
                      <wp:cNvGraphicFramePr/>
                      <a:graphic xmlns:a="http://schemas.openxmlformats.org/drawingml/2006/main">
                        <a:graphicData uri="http://schemas.openxmlformats.org/drawingml/2006/picture">
                          <pic:pic xmlns:pic="http://schemas.openxmlformats.org/drawingml/2006/picture">
                            <pic:nvPicPr>
                              <pic:cNvPr id="83" name="图片_20_SpCnt_3"/>
                              <pic:cNvPicPr/>
                              <pic:nvPr/>
                            </pic:nvPicPr>
                            <pic:blipFill>
                              <a:blip r:embed="rId38"/>
                              <a:stretch/>
                            </pic:blipFill>
                            <pic:spPr bwMode="auto">
                              <a:xfrm>
                                <a:off x="0" y="0"/>
                                <a:ext cx="77152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5.2pt;mso-position-horizontal:absolute;mso-position-vertical-relative:text;margin-top:5.3pt;mso-position-vertical:absolute;width:60.8pt;height:53.9pt;mso-wrap-distance-left:9.0pt;mso-wrap-distance-top:0.0pt;mso-wrap-distance-right:9.0pt;mso-wrap-distance-bottom:0.0pt;" stroked="f">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1.环氧外壳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2.敞开式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3.软管长度：15米</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面点主食间</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67945</wp:posOffset>
                      </wp:positionV>
                      <wp:extent cx="771525" cy="684530"/>
                      <wp:effectExtent l="0" t="0" r="5715" b="1270"/>
                      <wp:wrapNone/>
                      <wp:docPr id="31" name="图片_20_SpCnt_4"/>
                      <wp:cNvGraphicFramePr/>
                      <a:graphic xmlns:a="http://schemas.openxmlformats.org/drawingml/2006/main">
                        <a:graphicData uri="http://schemas.openxmlformats.org/drawingml/2006/picture">
                          <pic:pic xmlns:pic="http://schemas.openxmlformats.org/drawingml/2006/picture">
                            <pic:nvPicPr>
                              <pic:cNvPr id="84" name="图片_20_SpCnt_4"/>
                              <pic:cNvPicPr/>
                              <pic:nvPr/>
                            </pic:nvPicPr>
                            <pic:blipFill>
                              <a:blip r:embed="rId38"/>
                              <a:stretch/>
                            </pic:blipFill>
                            <pic:spPr bwMode="auto">
                              <a:xfrm>
                                <a:off x="0" y="0"/>
                                <a:ext cx="77152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5.2pt;mso-position-horizontal:absolute;mso-position-vertical-relative:text;margin-top:5.3pt;mso-position-vertical:absolute;width:60.8pt;height:53.9pt;mso-wrap-distance-left:9.0pt;mso-wrap-distance-top:0.0pt;mso-wrap-distance-right:9.0pt;mso-wrap-distance-bottom:0.0pt;" stroked="f">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1.环氧外壳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2.敞开式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3.软管长度：15米</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200660</wp:posOffset>
                      </wp:positionV>
                      <wp:extent cx="656590" cy="476250"/>
                      <wp:effectExtent l="0" t="0" r="13970" b="11430"/>
                      <wp:wrapNone/>
                      <wp:docPr id="32" name="图片_31"/>
                      <wp:cNvGraphicFramePr/>
                      <a:graphic xmlns:a="http://schemas.openxmlformats.org/drawingml/2006/main">
                        <a:graphicData uri="http://schemas.openxmlformats.org/drawingml/2006/picture">
                          <pic:pic xmlns:pic="http://schemas.openxmlformats.org/drawingml/2006/picture">
                            <pic:nvPicPr>
                              <pic:cNvPr id="77" name="图片_31"/>
                              <pic:cNvPicPr/>
                              <pic:nvPr/>
                            </pic:nvPicPr>
                            <pic:blipFill>
                              <a:blip r:embed="rId39"/>
                              <a:stretch/>
                            </pic:blipFill>
                            <pic:spPr bwMode="auto">
                              <a:xfrm>
                                <a:off x="0" y="0"/>
                                <a:ext cx="65659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1.2pt;mso-position-horizontal:absolute;mso-position-vertical-relative:text;margin-top:15.8pt;mso-position-vertical:absolute;width:51.7pt;height:37.5pt;mso-wrap-distance-left:9.0pt;mso-wrap-distance-top:0.0pt;mso-wrap-distance-right:9.0pt;mso-wrap-distance-bottom:0.0pt;" stroked="f">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6.不锈钢下水器。</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鸭颈式</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96520</wp:posOffset>
                      </wp:positionV>
                      <wp:extent cx="685800" cy="710565"/>
                      <wp:effectExtent l="0" t="0" r="0" b="5715"/>
                      <wp:wrapNone/>
                      <wp:docPr id="33" name="图片_11_SpCnt_4"/>
                      <wp:cNvGraphicFramePr/>
                      <a:graphic xmlns:a="http://schemas.openxmlformats.org/drawingml/2006/main">
                        <a:graphicData uri="http://schemas.openxmlformats.org/drawingml/2006/picture">
                          <pic:pic xmlns:pic="http://schemas.openxmlformats.org/drawingml/2006/picture">
                            <pic:nvPicPr>
                              <pic:cNvPr id="66" name="图片_11_SpCnt_4"/>
                              <pic:cNvPicPr/>
                              <pic:nvPr/>
                            </pic:nvPicPr>
                            <pic:blipFill>
                              <a:blip r:embed="rId40"/>
                              <a:stretch/>
                            </pic:blipFill>
                            <pic:spPr bwMode="auto">
                              <a:xfrm>
                                <a:off x="0" y="0"/>
                                <a:ext cx="685800"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9.8pt;mso-position-horizontal:absolute;mso-position-vertical-relative:text;margin-top:7.6pt;mso-position-vertical:absolute;width:54.0pt;height:55.9pt;mso-wrap-distance-left:9.0pt;mso-wrap-distance-top:0.0pt;mso-wrap-distance-right:9.0pt;mso-wrap-distance-bottom:0.0pt;" stroked="f">
                      <v:path textboxrect="0,0,0,0"/>
                      <v:imagedata r:id="rId4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1.座台式双孔双温、主体黄铜铸造表面抛光镀铬处理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2.配1/4转优质陶瓷阀芯一字型手柄；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3.十寸（254mm）平颈水嘴，360度可旋转；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4.开孔尺寸25mm*2,左右开孔间距203mm(偏芯设计可调范围15mm)，进水接口为标准1/2"外螺纹；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5.总高度230mm,出水口距台面 149mm。</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125095</wp:posOffset>
                      </wp:positionV>
                      <wp:extent cx="752475" cy="638175"/>
                      <wp:effectExtent l="0" t="0" r="9525" b="1905"/>
                      <wp:wrapNone/>
                      <wp:docPr id="34"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r/>
                            </pic:nvPicPr>
                            <pic:blipFill>
                              <a:blip r:embed="rId41"/>
                              <a:stretch/>
                            </pic:blipFill>
                            <pic:spPr bwMode="auto">
                              <a:xfrm>
                                <a:off x="0" y="0"/>
                                <a:ext cx="75247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8.2pt;mso-position-horizontal:absolute;mso-position-vertical-relative:text;margin-top:9.8pt;mso-position-vertical:absolute;width:59.2pt;height:50.2pt;mso-wrap-distance-left:9.0pt;mso-wrap-distance-top:0.0pt;mso-wrap-distance-right:9.0pt;mso-wrap-distance-bottom:0.0pt;" stroked="f">
                      <v:path textboxrect="0,0,0,0"/>
                      <v:imagedata r:id="rId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1.额定电压：380V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2.电机功率：5KW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3.压面厚度：2~32mm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4.压面宽度：320mm</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和面机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86995</wp:posOffset>
                      </wp:positionV>
                      <wp:extent cx="714375" cy="714375"/>
                      <wp:effectExtent l="0" t="0" r="1905" b="1905"/>
                      <wp:wrapNone/>
                      <wp:docPr id="35" name="图片_2_SpCnt_1"/>
                      <wp:cNvGraphicFramePr/>
                      <a:graphic xmlns:a="http://schemas.openxmlformats.org/drawingml/2006/main">
                        <a:graphicData uri="http://schemas.openxmlformats.org/drawingml/2006/picture">
                          <pic:pic xmlns:pic="http://schemas.openxmlformats.org/drawingml/2006/picture">
                            <pic:nvPicPr>
                              <pic:cNvPr id="81" name="图片_2_SpCnt_1"/>
                              <pic:cNvPicPr/>
                              <pic:nvPr/>
                            </pic:nvPicPr>
                            <pic:blipFill>
                              <a:blip r:embed="rId42"/>
                              <a:stretch/>
                            </pic:blipFill>
                            <pic:spPr bwMode="auto">
                              <a:xfrm>
                                <a:off x="0" y="0"/>
                                <a:ext cx="71437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9.8pt;mso-position-horizontal:absolute;mso-position-vertical-relative:text;margin-top:6.8pt;mso-position-vertical:absolute;width:56.2pt;height:56.2pt;mso-wrap-distance-left:9.0pt;mso-wrap-distance-top:0.0pt;mso-wrap-distance-right:9.0pt;mso-wrap-distance-bottom:0.0pt;" stroked="f">
                      <v:path textboxrect="0,0,0,0"/>
                      <v:imagedata r:id="rId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1.额定电压:380V</w:t>
            </w:r>
            <w:r>
              <w:rPr>
                <w:rFonts w:hint="eastAsia" w:ascii="宋体" w:hAnsi="宋体" w:eastAsia="宋体" w:cs="宋体"/>
                <w:i w:val="0"/>
                <w:iCs w:val="0"/>
                <w:color w:val="000000"/>
                <w:sz w:val="20"/>
                <w:szCs w:val="20"/>
                <w:u w:val="none"/>
                <w:lang w:val="en-US" w:eastAsia="zh-CN" w:bidi="ar"/>
              </w:rPr>
            </w:r>
          </w:p>
          <w:p>
            <w:pPr>
              <w:jc w:val="left"/>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2.电机功率：5KW</w:t>
            </w:r>
            <w:r>
              <w:rPr>
                <w:rFonts w:hint="eastAsia" w:ascii="宋体" w:hAnsi="宋体" w:eastAsia="宋体" w:cs="宋体"/>
                <w:i w:val="0"/>
                <w:iCs w:val="0"/>
                <w:color w:val="000000"/>
                <w:sz w:val="20"/>
                <w:szCs w:val="20"/>
                <w:u w:val="none"/>
                <w:lang w:val="en-US" w:eastAsia="zh-CN" w:bidi="ar"/>
              </w:rPr>
            </w:r>
          </w:p>
          <w:p>
            <w:pPr>
              <w:jc w:val="left"/>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3.生产量：125kg/h</w:t>
            </w:r>
            <w:r>
              <w:rPr>
                <w:rFonts w:hint="eastAsia" w:ascii="宋体" w:hAnsi="宋体" w:eastAsia="宋体" w:cs="宋体"/>
                <w:i w:val="0"/>
                <w:iCs w:val="0"/>
                <w:color w:val="000000"/>
                <w:sz w:val="20"/>
                <w:szCs w:val="20"/>
                <w:u w:val="none"/>
                <w:lang w:val="en-US" w:eastAsia="zh-CN" w:bidi="ar"/>
              </w:rPr>
            </w:r>
          </w:p>
          <w:p>
            <w:pPr>
              <w:jc w:val="left"/>
              <w:keepLines w:val="0"/>
              <w:keepNext w:val="0"/>
              <w:widowControl/>
              <w:suppressLineNumbers w:val="0"/>
            </w:pPr>
            <w:r>
              <w:rPr>
                <w:rFonts w:hint="eastAsia" w:ascii="宋体" w:hAnsi="宋体" w:eastAsia="宋体" w:cs="宋体"/>
                <w:i w:val="0"/>
                <w:iCs w:val="0"/>
                <w:color w:val="000000"/>
                <w:sz w:val="20"/>
                <w:szCs w:val="20"/>
                <w:u w:val="none"/>
                <w:lang w:val="en-US" w:eastAsia="zh-CN" w:bidi="ar"/>
              </w:rPr>
              <w:t xml:space="preserve">4.和面机的容量约为‌120升</w:t>
            </w:r>
            <w:r>
              <w:rPr>
                <w:rFonts w:hint="eastAsia" w:ascii="宋体" w:hAnsi="宋体" w:eastAsia="宋体" w:cs="宋体"/>
                <w:i w:val="0"/>
                <w:iCs w:val="0"/>
                <w:color w:val="000000"/>
                <w:sz w:val="20"/>
                <w:szCs w:val="20"/>
                <w:u w:val="none"/>
                <w:lang w:val="en-US" w:eastAsia="zh-CN" w:bidi="ar"/>
              </w:rP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5.面粉容量约为‌50-60公斤。</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B20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仿宋_GB2312" w:hAnsi="宋体" w:eastAsia="仿宋_GB2312" w:cs="仿宋_GB2312"/>
                <w:i w:val="0"/>
                <w:iCs w:val="0"/>
                <w:color w:val="000000"/>
                <w:sz w:val="20"/>
                <w:szCs w:val="20"/>
                <w:u w:val="none"/>
              </w:rPr>
              <w:suppressLineNumbers w:val="0"/>
            </w:pPr>
            <w:r>
              <w:rPr>
                <w:rFonts w:hint="default"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114300</wp:posOffset>
                      </wp:positionV>
                      <wp:extent cx="619125" cy="628015"/>
                      <wp:effectExtent l="0" t="0" r="5715" b="12065"/>
                      <wp:wrapNone/>
                      <wp:docPr id="36" name="图片_38"/>
                      <wp:cNvGraphicFramePr/>
                      <a:graphic xmlns:a="http://schemas.openxmlformats.org/drawingml/2006/main">
                        <a:graphicData uri="http://schemas.openxmlformats.org/drawingml/2006/picture">
                          <pic:pic xmlns:pic="http://schemas.openxmlformats.org/drawingml/2006/picture">
                            <pic:nvPicPr>
                              <pic:cNvPr id="85" name="图片_38"/>
                              <pic:cNvPicPr/>
                              <pic:nvPr/>
                            </pic:nvPicPr>
                            <pic:blipFill>
                              <a:blip r:embed="rId43"/>
                              <a:stretch/>
                            </pic:blipFill>
                            <pic:spPr bwMode="auto">
                              <a:xfrm>
                                <a:off x="0" y="0"/>
                                <a:ext cx="61912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9.0pt;mso-position-horizontal:absolute;mso-position-vertical-relative:text;margin-top:9.0pt;mso-position-vertical:absolute;width:48.8pt;height:49.4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2.电机功率：0.5KW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3.生产量：95kg/h</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木案工作台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66040</wp:posOffset>
                      </wp:positionV>
                      <wp:extent cx="695325" cy="770255"/>
                      <wp:effectExtent l="0" t="0" r="5715" b="6985"/>
                      <wp:wrapNone/>
                      <wp:docPr id="37" name="图片_20_SpCnt_5"/>
                      <wp:cNvGraphicFramePr/>
                      <a:graphic xmlns:a="http://schemas.openxmlformats.org/drawingml/2006/main">
                        <a:graphicData uri="http://schemas.openxmlformats.org/drawingml/2006/picture">
                          <pic:pic xmlns:pic="http://schemas.openxmlformats.org/drawingml/2006/picture">
                            <pic:nvPicPr>
                              <pic:cNvPr id="70" name="图片_20_SpCnt_5"/>
                              <pic:cNvPicPr/>
                              <pic:nvPr/>
                            </pic:nvPicPr>
                            <pic:blipFill>
                              <a:blip r:embed="rId44"/>
                              <a:stretch/>
                            </pic:blipFill>
                            <pic:spPr bwMode="auto">
                              <a:xfrm>
                                <a:off x="0" y="0"/>
                                <a:ext cx="69532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7.5pt;mso-position-horizontal:absolute;mso-position-vertical-relative:text;margin-top:5.2pt;mso-position-vertical:absolute;width:54.8pt;height:60.6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1.台面:60mm优质木板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2.辅材:不锈钢板材 1.5mm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3.加强筋:不锈钢板材 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4.脚通:钢管 φ50χ1.2mm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5.配防滑垫</w:t>
            </w:r>
            <w:r/>
          </w:p>
        </w:tc>
      </w:tr>
      <w:tr>
        <w:trPr>
          <w:trHeight w:val="15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202565</wp:posOffset>
                      </wp:positionV>
                      <wp:extent cx="724535" cy="527050"/>
                      <wp:effectExtent l="0" t="0" r="6985" b="6350"/>
                      <wp:wrapNone/>
                      <wp:docPr id="38" name="图片_13_SpCnt_1"/>
                      <wp:cNvGraphicFramePr/>
                      <a:graphic xmlns:a="http://schemas.openxmlformats.org/drawingml/2006/main">
                        <a:graphicData uri="http://schemas.openxmlformats.org/drawingml/2006/picture">
                          <pic:pic xmlns:pic="http://schemas.openxmlformats.org/drawingml/2006/picture">
                            <pic:nvPicPr>
                              <pic:cNvPr id="72" name="图片_13_SpCnt_1"/>
                              <pic:cNvPicPr/>
                              <pic:nvPr/>
                            </pic:nvPicPr>
                            <pic:blipFill>
                              <a:blip r:embed="rId45"/>
                              <a:stretch/>
                            </pic:blipFill>
                            <pic:spPr bwMode="auto">
                              <a:xfrm>
                                <a:off x="0" y="0"/>
                                <a:ext cx="724535"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3.0pt;mso-position-horizontal:absolute;mso-position-vertical-relative:text;margin-top:15.9pt;mso-position-vertical:absolute;width:57.0pt;height:41.5pt;mso-wrap-distance-left:9.0pt;mso-wrap-distance-top:0.0pt;mso-wrap-distance-right:9.0pt;mso-wrap-distance-bottom:0.0pt;" stroked="f">
                      <v:path textboxrect="0,0,0,0"/>
                      <v:imagedata r:id="rId45" o:title=""/>
                    </v:shape>
                  </w:pict>
                </mc:Fallback>
              </mc:AlternateContent>
            </w:r>
            <w:r/>
          </w:p>
        </w:tc>
        <w:tc>
          <w:tcPr>
            <w:shd w:val="clear" w:color="auto" w:fill="ffffff"/>
            <w:tcBorders>
              <w:top w:val="single" w:color="000000" w:sz="4" w:space="0"/>
              <w:left w:val="single" w:color="000000" w:sz="4" w:space="0"/>
              <w:bottom w:val="single" w:color="auto"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材料采用SUS304不锈钢板制作，珐纹处理，氩焊处满焊，抛光打磨。台面厚度δ=1.5mm，下层板厚度δ=1.2mm，腿采用φ38*1.2mm圆管制作,采用不锈钢子弹脚。</w:t>
            </w:r>
            <w:r/>
          </w:p>
        </w:tc>
      </w:tr>
      <w:tr>
        <w:trPr>
          <w:trHeight w:val="3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万能蒸烤箱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六盘</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307975</wp:posOffset>
                      </wp:positionV>
                      <wp:extent cx="581025" cy="674370"/>
                      <wp:effectExtent l="0" t="0" r="13335" b="11430"/>
                      <wp:wrapNone/>
                      <wp:docPr id="39" name="图片_52"/>
                      <wp:cNvGraphicFramePr/>
                      <a:graphic xmlns:a="http://schemas.openxmlformats.org/drawingml/2006/main">
                        <a:graphicData uri="http://schemas.openxmlformats.org/drawingml/2006/picture">
                          <pic:pic xmlns:pic="http://schemas.openxmlformats.org/drawingml/2006/picture">
                            <pic:nvPicPr>
                              <pic:cNvPr id="69" name="图片_52"/>
                              <pic:cNvPicPr/>
                              <pic:nvPr/>
                            </pic:nvPicPr>
                            <pic:blipFill>
                              <a:blip r:embed="rId46"/>
                              <a:stretch/>
                            </pic:blipFill>
                            <pic:spPr bwMode="auto">
                              <a:xfrm>
                                <a:off x="0" y="0"/>
                                <a:ext cx="581025"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1.2pt;mso-position-horizontal:absolute;mso-position-vertical-relative:text;margin-top:24.2pt;mso-position-vertical:absolute;width:45.8pt;height:53.1pt;mso-wrap-distance-left:9.0pt;mso-wrap-distance-top:0.0pt;mso-wrap-distance-right:9.0pt;mso-wrap-distance-bottom:0.0pt;" stroked="f">
                      <v:path textboxrect="0,0,0,0"/>
                      <v:imagedata r:id="rId46" o:title=""/>
                    </v:shape>
                  </w:pict>
                </mc:Fallback>
              </mc:AlternateContent>
            </w:r>
            <w:r/>
          </w:p>
        </w:tc>
        <w:tc>
          <w:tcPr>
            <w:shd w:val="clear" w:color="auto" w:fill="ffffff"/>
            <w:tcBorders>
              <w:top w:val="single" w:color="auto" w:sz="4" w:space="0"/>
              <w:left w:val="single" w:color="auto" w:sz="4" w:space="0"/>
              <w:bottom w:val="single" w:color="auto"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1.电功率:380V,50Hz,15.9kw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2.焙烤、煎烤、架烤、蒸、焖等都可在一台设备中完成，大大提升厨房空间利用率。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3.电容屏操作面板。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4.操作系统内置视频助手，即视频说明书，方便使用者随时查阅，内置超过 250 个自动烹饪过程，中途可切换成手动烹饪模式，操作简单方便，只需选择相应模式（蒸/ 烤 / 蒸烤），调节温度、湿度、时间调节即可。</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600*850*2000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27305</wp:posOffset>
                      </wp:positionV>
                      <wp:extent cx="809625" cy="637540"/>
                      <wp:effectExtent l="0" t="0" r="13335" b="2540"/>
                      <wp:wrapNone/>
                      <wp:docPr id="40" name="图片_30"/>
                      <wp:cNvGraphicFramePr/>
                      <a:graphic xmlns:a="http://schemas.openxmlformats.org/drawingml/2006/main">
                        <a:graphicData uri="http://schemas.openxmlformats.org/drawingml/2006/picture">
                          <pic:pic xmlns:pic="http://schemas.openxmlformats.org/drawingml/2006/picture">
                            <pic:nvPicPr>
                              <pic:cNvPr id="67" name="图片_30"/>
                              <pic:cNvPicPr/>
                              <pic:nvPr/>
                            </pic:nvPicPr>
                            <pic:blipFill>
                              <a:blip r:embed="rId47"/>
                              <a:stretch/>
                            </pic:blipFill>
                            <pic:spPr bwMode="auto">
                              <a:xfrm>
                                <a:off x="0" y="0"/>
                                <a:ext cx="809625"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5.2pt;mso-position-horizontal:absolute;mso-position-vertical-relative:text;margin-top:2.1pt;mso-position-vertical:absolute;width:63.8pt;height:50.2pt;mso-wrap-distance-left:9.0pt;mso-wrap-distance-top:0.0pt;mso-wrap-distance-right:9.0pt;mso-wrap-distance-bottom:0.0pt;" stroked="f">
                      <v:path textboxrect="0,0,0,0"/>
                      <v:imagedata r:id="rId47" o:title=""/>
                    </v:shape>
                  </w:pict>
                </mc:Fallback>
              </mc:AlternateContent>
            </w:r>
            <w:r/>
          </w:p>
        </w:tc>
        <w:tc>
          <w:tcPr>
            <w:shd w:val="clear" w:color="auto" w:fill="ffffff"/>
            <w:tcBorders>
              <w:top w:val="single" w:color="auto" w:sz="4" w:space="0"/>
              <w:left w:val="single" w:color="auto" w:sz="4" w:space="0"/>
              <w:bottom w:val="single" w:color="auto" w:sz="4" w:space="0"/>
              <w:right w:val="single" w:color="auto" w:sz="4" w:space="0"/>
            </w:tcBorders>
            <w:tcW w:w="4020"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18盘单门冷藏醒发箱:63*122*211CM，220V，1.8KW，自备16A的3孔插座和进水三角阀在机器后侧墙上，机器正下方需有地漏排水，机器顶部与房顶之间至少保留40-50CM的高度空间散热。</w:t>
            </w:r>
            <w:r/>
          </w:p>
        </w:tc>
      </w:tr>
      <w:tr>
        <w:trPr>
          <w:trHeight w:val="124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柜式电饼档</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76835</wp:posOffset>
                      </wp:positionV>
                      <wp:extent cx="656590" cy="668655"/>
                      <wp:effectExtent l="0" t="0" r="13970" b="1905"/>
                      <wp:wrapNone/>
                      <wp:docPr id="41" name="图片_28"/>
                      <wp:cNvGraphicFramePr/>
                      <a:graphic xmlns:a="http://schemas.openxmlformats.org/drawingml/2006/main">
                        <a:graphicData uri="http://schemas.openxmlformats.org/drawingml/2006/picture">
                          <pic:pic xmlns:pic="http://schemas.openxmlformats.org/drawingml/2006/picture">
                            <pic:nvPicPr>
                              <pic:cNvPr id="73" name="图片_28"/>
                              <pic:cNvPicPr/>
                              <pic:nvPr/>
                            </pic:nvPicPr>
                            <pic:blipFill>
                              <a:blip r:embed="rId48"/>
                              <a:stretch/>
                            </pic:blipFill>
                            <pic:spPr bwMode="auto">
                              <a:xfrm>
                                <a:off x="0" y="0"/>
                                <a:ext cx="656590" cy="66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11.2pt;mso-position-horizontal:absolute;mso-position-vertical-relative:text;margin-top:6.0pt;mso-position-vertical:absolute;width:51.7pt;height:52.6pt;mso-wrap-distance-left:9.0pt;mso-wrap-distance-top:0.0pt;mso-wrap-distance-right:9.0pt;mso-wrap-distance-bottom:0.0pt;" stroked="f">
                      <v:path textboxrect="0,0,0,0"/>
                      <v:imagedata r:id="rId48" o:title=""/>
                    </v:shape>
                  </w:pict>
                </mc:Fallback>
              </mc:AlternateContent>
            </w:r>
            <w:r/>
          </w:p>
        </w:tc>
        <w:tc>
          <w:tcPr>
            <w:shd w:val="clear" w:color="auto" w:fill="ffffff"/>
            <w:tcBorders>
              <w:top w:val="single" w:color="auto"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1.整体SUS304不锈钢制作，落地式；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2.直径550mm、深28mm高密度铝锅；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3.双面恒温电加热、自动控温双控面板；                    4.电功率:380V,50Hz,6.9kw。</w:t>
            </w:r>
            <w:r/>
          </w:p>
        </w:tc>
      </w:tr>
      <w:tr>
        <w:trPr>
          <w:trHeight w:val="121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智能米饭机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66675</wp:posOffset>
                      </wp:positionV>
                      <wp:extent cx="666750" cy="628650"/>
                      <wp:effectExtent l="0" t="0" r="3810" b="11430"/>
                      <wp:wrapNone/>
                      <wp:docPr id="42" name="图片_24_SpCnt_1"/>
                      <wp:cNvGraphicFramePr/>
                      <a:graphic xmlns:a="http://schemas.openxmlformats.org/drawingml/2006/main">
                        <a:graphicData uri="http://schemas.openxmlformats.org/drawingml/2006/picture">
                          <pic:pic xmlns:pic="http://schemas.openxmlformats.org/drawingml/2006/picture">
                            <pic:nvPicPr>
                              <pic:cNvPr id="78" name="图片_24_SpCnt_1"/>
                              <pic:cNvPicPr/>
                              <pic:nvPr/>
                            </pic:nvPicPr>
                            <pic:blipFill>
                              <a:blip r:embed="rId49"/>
                              <a:stretch/>
                            </pic:blipFill>
                            <pic:spPr bwMode="auto">
                              <a:xfrm>
                                <a:off x="0" y="0"/>
                                <a:ext cx="66675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8.2pt;mso-position-horizontal:absolute;mso-position-vertical-relative:text;margin-top:5.2pt;mso-position-vertical:absolute;width:52.5pt;height:49.5pt;mso-wrap-distance-left:9.0pt;mso-wrap-distance-top:0.0pt;mso-wrap-distance-right:9.0pt;mso-wrap-distance-bottom:0.0pt;" stroked="f">
                      <v:path textboxrect="0,0,0,0"/>
                      <v:imagedata r:id="rId4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24盘规格：1400*580*1580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说明：整机发泡保温，蒸大米140KG，蒸馒头120KG，蒸饭时间50min,额定电压：380V，额定频率：50Hz,额定输入功率：24kw，水压：100-250kpa,蒸汽压力：15-20kpa   380V/24KW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1）缺水报警显示2）加热显示3）保温功能4）蒸煮功能5）时间显示6）调温功能，一键启动 7）菜单选择。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1.蒸饭柜优质不锈钢磨砂板制作，整体高压发泡，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2.蒸饭柜自动进水技术功能。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3.内胆顶层斜坡设计，防止蒸汽滴落污染食物:与食品接触无重金属污染，卫生标准符合国家标准GB4806.9-2016标准: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4.蒸饭柜采用新型多气囊，嵌入式砖胶门封，密封牢靠:开门方便，结实耐用。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5.机体耐腐蚀、清洁方便、细菌残留降至最低:冲压成型不锈钢蒸高效。</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ascii="SimSun" w:hAnsi="SimSun" w:eastAsia="SimSun" w:cs="SimSun"/>
                <w:color w:val="000000"/>
                <w:sz w:val="20"/>
              </w:rPr>
              <w:t xml:space="preserve">设备配有手动开关（备用开关），和电脑版开关。两路系统不耽误使用。</w:t>
            </w:r>
            <w:r/>
            <w:r>
              <w:rPr>
                <w:rFonts w:hint="eastAsia" w:ascii="宋体" w:hAnsi="宋体" w:eastAsia="宋体" w:cs="宋体"/>
                <w:i w:val="0"/>
                <w:iCs w:val="0"/>
                <w:color w:val="000000"/>
                <w:sz w:val="20"/>
                <w:szCs w:val="20"/>
                <w:u w:val="none"/>
              </w:rPr>
            </w:r>
            <w:r/>
          </w:p>
        </w:tc>
      </w:tr>
      <w:tr>
        <w:trPr>
          <w:trHeight w:val="148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电磁蒸包炉</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106680</wp:posOffset>
                      </wp:positionV>
                      <wp:extent cx="666750" cy="665480"/>
                      <wp:effectExtent l="0" t="0" r="3810" b="5080"/>
                      <wp:wrapNone/>
                      <wp:docPr id="43" name="图片_102"/>
                      <wp:cNvGraphicFramePr/>
                      <a:graphic xmlns:a="http://schemas.openxmlformats.org/drawingml/2006/main">
                        <a:graphicData uri="http://schemas.openxmlformats.org/drawingml/2006/picture">
                          <pic:pic xmlns:pic="http://schemas.openxmlformats.org/drawingml/2006/picture">
                            <pic:nvPicPr>
                              <pic:cNvPr id="68" name="图片_102"/>
                              <pic:cNvPicPr/>
                              <pic:nvPr/>
                            </pic:nvPicPr>
                            <pic:blipFill>
                              <a:blip r:embed="rId50"/>
                              <a:stretch/>
                            </pic:blipFill>
                            <pic:spPr bwMode="auto">
                              <a:xfrm>
                                <a:off x="0" y="0"/>
                                <a:ext cx="66675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9.8pt;mso-position-horizontal:absolute;mso-position-vertical-relative:text;margin-top:8.4pt;mso-position-vertical:absolute;width:52.5pt;height:52.4pt;mso-wrap-distance-left:9.0pt;mso-wrap-distance-top:0.0pt;mso-wrap-distance-right:9.0pt;mso-wrap-distance-bottom:0.0pt;" stroked="f">
                      <v:path textboxrect="0,0,0,0"/>
                      <v:imagedata r:id="rId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功率：15KW*2/380V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1.产品采用符合不锈钢化学成分检验合格的SUS304不锈钢磨砂板，台面一次成型。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2.产品采用≥8档360度旋转火力开关，开关控制模块依据GB/T4208-2017《外壳防护等级（IP代码）》检验：IP6X防尘试验、IPX7防水试验两项检验合格。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3.前板配置防误动开关，紧急情况一键切断电源，安全升级更有保障。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4.机芯采用分层次散热结构，机芯外壳全密封设计，采用抗干扰机箱；机芯数据线采用工业级航空插座，抗拉力强。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5.软启动技术，超宽工作电压设计，具有3h自动关机功能，自动报警装置，安全更省心。 </w:t>
            </w:r>
            <w:r/>
          </w:p>
        </w:tc>
      </w:tr>
      <w:tr>
        <w:trPr>
          <w:trHeight w:val="341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电自动炒菜机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1170×1300×1550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-247015</wp:posOffset>
                      </wp:positionV>
                      <wp:extent cx="832485" cy="1022350"/>
                      <wp:effectExtent l="0" t="0" r="5715" b="13970"/>
                      <wp:wrapNone/>
                      <wp:docPr id="44" name="图片_2_SpCnt_2"/>
                      <wp:cNvGraphicFramePr/>
                      <a:graphic xmlns:a="http://schemas.openxmlformats.org/drawingml/2006/main">
                        <a:graphicData uri="http://schemas.openxmlformats.org/drawingml/2006/picture">
                          <pic:pic xmlns:pic="http://schemas.openxmlformats.org/drawingml/2006/picture">
                            <pic:nvPicPr>
                              <pic:cNvPr id="63" name="图片_2_SpCnt_2"/>
                              <pic:cNvPicPr/>
                              <pic:nvPr/>
                            </pic:nvPicPr>
                            <pic:blipFill>
                              <a:blip r:embed="rId51"/>
                              <a:stretch/>
                            </pic:blipFill>
                            <pic:spPr bwMode="auto">
                              <a:xfrm>
                                <a:off x="0" y="0"/>
                                <a:ext cx="832485" cy="1022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5.3pt;mso-position-horizontal:absolute;mso-position-vertical-relative:text;margin-top:-19.4pt;mso-position-vertical:absolute;width:65.5pt;height:80.5pt;mso-wrap-distance-left:9.0pt;mso-wrap-distance-top:0.0pt;mso-wrap-distance-right:9.0pt;mso-wrap-distance-bottom:0.0pt;" stroked="f">
                      <v:path textboxrect="0,0,0,0"/>
                      <v:imagedata r:id="rId5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1.规格（长*宽*高）约：1170×1300×1550mm；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2.功率/电压 ：25KW/380V /50Hz；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3.滚筒：锅体内直径 Φ580mm；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4.滚筒材质 ：443#不锈钢可选装不粘锅涂层；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5.显示屏 ：10 寸多功能电容触模显示屏，清晰度更高，任意角度不反光，操作体验感更优；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6.语音：智能实时语音仿真播报功能，可直接播报投放食材的名称；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7.转锅速度可调，火力9档可调，科技感更强，近距离喷射，更少滴漏，减少浪费；结构互锁保护，安全耐用；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8.智能控制系统，自主研发设计采用内核的 64 位数字纳秒级处理器作控制核心芯片、双磁电引擎，确保机器运行更稳定；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9.翻锅方式：电控翻锅、电动倒料；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10.测温：红外线测试及温度显示和超温语音 提示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11.菜单：可输入及修改菜单名称；菜单记忆功能。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12.接料盘：抽拉式接料盘，节省场地空间 ，方便快捷清洗，人性化设计；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13.电磁加热机芯采用全封闭铝质材料制作 ，自带内循环热交换系统 ，有效减少外部使用环 境影响；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14.开机自检功能双重卸载性能保护设置 、 电路板采用全贴片工艺自动化生产多级防护三重 立体防辐射外壳屏蔽；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15.功能动态显示屏带（菜单录制、食谱设置，火力调节、语音提示、加热锅体旋转调节、温度调节、时间设定、超温报警 、故障显示、温度显示、800 道菜单储存显示）；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16.采用聚丁稀工程塑料耐高温齿状型线圈支 架 、可承加速度 1g 振频 50Hz 的 FC 测试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17.前板急停安全防护、防触紧急断电开关设置 ，使用更安全。                        </w:t>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UV油烟一体机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9500*1300*980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95885</wp:posOffset>
                      </wp:positionV>
                      <wp:extent cx="610235" cy="534670"/>
                      <wp:effectExtent l="0" t="0" r="14604" b="13970"/>
                      <wp:wrapNone/>
                      <wp:docPr id="45" name="图片_26"/>
                      <wp:cNvGraphicFramePr/>
                      <a:graphic xmlns:a="http://schemas.openxmlformats.org/drawingml/2006/main">
                        <a:graphicData uri="http://schemas.openxmlformats.org/drawingml/2006/picture">
                          <pic:pic xmlns:pic="http://schemas.openxmlformats.org/drawingml/2006/picture">
                            <pic:nvPicPr>
                              <pic:cNvPr id="74" name="图片_26"/>
                              <pic:cNvPicPr/>
                              <pic:nvPr/>
                            </pic:nvPicPr>
                            <pic:blipFill>
                              <a:blip r:embed="rId52"/>
                              <a:stretch/>
                            </pic:blipFill>
                            <pic:spPr bwMode="auto">
                              <a:xfrm>
                                <a:off x="0" y="0"/>
                                <a:ext cx="61023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9.0pt;mso-position-horizontal:absolute;mso-position-vertical-relative:text;margin-top:7.5pt;mso-position-vertical:absolute;width:48.0pt;height:42.1pt;mso-wrap-distance-left:9.0pt;mso-wrap-distance-top:0.0pt;mso-wrap-distance-right:9.0pt;mso-wrap-distance-bottom:0.0pt;" stroked="f">
                      <v:path textboxrect="0,0,0,0"/>
                      <v:imagedata r:id="rId5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1.罩壳体采用SUS304B不锈钢板材，厚度1.0mm 2.采用静电光解复合式油烟净化，UV管净味，油烟净化、净味率达98%。          2.功率：3KW*5/380V </w:t>
            </w:r>
            <w:r/>
          </w:p>
        </w:tc>
      </w:tr>
      <w:tr>
        <w:trPr>
          <w:trHeight w:val="10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94615</wp:posOffset>
                      </wp:positionV>
                      <wp:extent cx="704850" cy="429895"/>
                      <wp:effectExtent l="0" t="0" r="11430" b="12065"/>
                      <wp:wrapNone/>
                      <wp:docPr id="46" name="图片_28_SpCnt_1"/>
                      <wp:cNvGraphicFramePr/>
                      <a:graphic xmlns:a="http://schemas.openxmlformats.org/drawingml/2006/main">
                        <a:graphicData uri="http://schemas.openxmlformats.org/drawingml/2006/picture">
                          <pic:pic xmlns:pic="http://schemas.openxmlformats.org/drawingml/2006/picture">
                            <pic:nvPicPr>
                              <pic:cNvPr id="71" name="图片_28_SpCnt_1"/>
                              <pic:cNvPicPr/>
                              <pic:nvPr/>
                            </pic:nvPicPr>
                            <pic:blipFill>
                              <a:blip r:embed="rId53"/>
                              <a:stretch/>
                            </pic:blipFill>
                            <pic:spPr bwMode="auto">
                              <a:xfrm>
                                <a:off x="0" y="0"/>
                                <a:ext cx="704850"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8.2pt;mso-position-horizontal:absolute;mso-position-vertical-relative:text;margin-top:7.4pt;mso-position-vertical:absolute;width:55.5pt;height:33.9pt;mso-wrap-distance-left:9.0pt;mso-wrap-distance-top:0.0pt;mso-wrap-distance-right:9.0pt;mso-wrap-distance-bottom:0.0pt;" stroked="f">
                      <v:path textboxrect="0,0,0,0"/>
                      <v:imagedata r:id="rId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采用SUS304不锈钢板材1.2mm，</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66040</wp:posOffset>
                      </wp:positionV>
                      <wp:extent cx="618490" cy="628015"/>
                      <wp:effectExtent l="0" t="0" r="6350" b="12065"/>
                      <wp:wrapNone/>
                      <wp:docPr id="47" name="图片_41_SpCnt_4"/>
                      <wp:cNvGraphicFramePr/>
                      <a:graphic xmlns:a="http://schemas.openxmlformats.org/drawingml/2006/main">
                        <a:graphicData uri="http://schemas.openxmlformats.org/drawingml/2006/picture">
                          <pic:pic xmlns:pic="http://schemas.openxmlformats.org/drawingml/2006/picture">
                            <pic:nvPicPr>
                              <pic:cNvPr id="76" name="图片_41_SpCnt_4"/>
                              <pic:cNvPicPr/>
                              <pic:nvPr/>
                            </pic:nvPicPr>
                            <pic:blipFill>
                              <a:blip r:embed="rId10"/>
                              <a:stretch/>
                            </pic:blipFill>
                            <pic:spPr bwMode="auto">
                              <a:xfrm>
                                <a:off x="0" y="0"/>
                                <a:ext cx="61849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4.3pt;mso-position-horizontal:absolute;mso-position-vertical-relative:text;margin-top:5.2pt;mso-position-vertical:absolute;width:48.7pt;height:49.4pt;mso-wrap-distance-left:9.0pt;mso-wrap-distance-top:0.0pt;mso-wrap-distance-right:9.0pt;mso-wrap-distance-bottom:0.0pt;" stroked="f">
                      <v:path textboxrect="0,0,0,0"/>
                      <v:imagedata r:id="rId1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1.管架SUS304 1.5㎜厚38×38㎜不锈钢方管；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2.层梁用SUS304 1.2㎜厚不锈钢38×25方管,间隔条用1.0㎜不锈钢30×15方管,骨条间距50㎜；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3.38×38不锈钢管及高度调整钢脚。</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烹饪间</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500*1200*800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65405</wp:posOffset>
                      </wp:positionV>
                      <wp:extent cx="591185" cy="619125"/>
                      <wp:effectExtent l="0" t="0" r="3175" b="5715"/>
                      <wp:wrapNone/>
                      <wp:docPr id="48" name="图片_5_SpCnt_2"/>
                      <wp:cNvGraphicFramePr/>
                      <a:graphic xmlns:a="http://schemas.openxmlformats.org/drawingml/2006/main">
                        <a:graphicData uri="http://schemas.openxmlformats.org/drawingml/2006/picture">
                          <pic:pic xmlns:pic="http://schemas.openxmlformats.org/drawingml/2006/picture">
                            <pic:nvPicPr>
                              <pic:cNvPr id="79" name="图片_5_SpCnt_2"/>
                              <pic:cNvPicPr/>
                              <pic:nvPr/>
                            </pic:nvPicPr>
                            <pic:blipFill>
                              <a:blip r:embed="rId54"/>
                              <a:stretch/>
                            </pic:blipFill>
                            <pic:spPr bwMode="auto">
                              <a:xfrm>
                                <a:off x="0" y="0"/>
                                <a:ext cx="591185" cy="61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2.0pt;mso-position-horizontal:absolute;mso-position-vertical-relative:text;margin-top:5.1pt;mso-position-vertical:absolute;width:46.5pt;height:48.8pt;mso-wrap-distance-left:9.0pt;mso-wrap-distance-top:0.0pt;mso-wrap-distance-right:9.0pt;mso-wrap-distance-bottom:0.0pt;" stroked="f">
                      <v:path textboxrect="0,0,0,0"/>
                      <v:imagedata r:id="rId54" o:title=""/>
                    </v:shape>
                  </w:pict>
                </mc:Fallback>
              </mc:AlternateContent>
            </w:r>
            <w:r/>
          </w:p>
        </w:tc>
        <w:tc>
          <w:tcPr>
            <w:shd w:val="clear" w:color="auto" w:fill="ffffff"/>
            <w:tcBorders>
              <w:top w:val="non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材料采用SUS304不锈钢板制作，珐纹处理，氩焊处满焊，抛光打磨。台面厚度δ=1.5mm，腿采用φ38*1.2mm不锈钢圆管，不锈钢可调式子弹脚。</w:t>
            </w:r>
            <w:r/>
          </w:p>
        </w:tc>
      </w:tr>
      <w:tr>
        <w:trPr>
          <w:trHeight w:val="1440"/>
        </w:trPr>
        <w:tc>
          <w:tcPr>
            <w:shd w:val="clear" w:color="auto" w:fill="ffffff"/>
            <w:tcBorders>
              <w:top w:val="single" w:color="000000" w:sz="4" w:space="0"/>
              <w:left w:val="single" w:color="000000"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3C燃气大锅灶</w:t>
            </w:r>
            <w:r/>
          </w:p>
        </w:tc>
        <w:tc>
          <w:tcPr>
            <w:shd w:val="clear" w:color="auto" w:fill="ffffff"/>
            <w:tcBorders>
              <w:top w:val="single" w:color="000000" w:sz="4" w:space="0"/>
              <w:left w:val="single" w:color="000000" w:sz="4" w:space="0"/>
              <w:bottom w:val="single" w:color="auto"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1200*1200*800</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auto"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89535</wp:posOffset>
                      </wp:positionV>
                      <wp:extent cx="722630" cy="710565"/>
                      <wp:effectExtent l="0" t="0" r="8890" b="5715"/>
                      <wp:wrapNone/>
                      <wp:docPr id="49" name="图片_2_SpCnt_3"/>
                      <wp:cNvGraphicFramePr/>
                      <a:graphic xmlns:a="http://schemas.openxmlformats.org/drawingml/2006/main">
                        <a:graphicData uri="http://schemas.openxmlformats.org/drawingml/2006/picture">
                          <pic:pic xmlns:pic="http://schemas.openxmlformats.org/drawingml/2006/picture">
                            <pic:nvPicPr>
                              <pic:cNvPr id="80" name="图片_2_SpCnt_3"/>
                              <pic:cNvPicPr/>
                              <pic:nvPr/>
                            </pic:nvPicPr>
                            <pic:blipFill>
                              <a:blip r:embed="rId55"/>
                              <a:stretch/>
                            </pic:blipFill>
                            <pic:spPr bwMode="auto">
                              <a:xfrm>
                                <a:off x="0" y="0"/>
                                <a:ext cx="722630"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7.5pt;mso-position-horizontal:absolute;mso-position-vertical-relative:text;margin-top:7.0pt;mso-position-vertical:absolute;width:56.9pt;height:55.9pt;mso-wrap-distance-left:9.0pt;mso-wrap-distance-top:0.0pt;mso-wrap-distance-right:9.0pt;mso-wrap-distance-bottom:0.0pt;" stroked="f">
                      <v:path textboxrect="0,0,0,0"/>
                      <v:imagedata r:id="rId55" o:title=""/>
                    </v:shape>
                  </w:pict>
                </mc:Fallback>
              </mc:AlternateContent>
            </w:r>
            <w:r/>
          </w:p>
        </w:tc>
        <w:tc>
          <w:tcPr>
            <w:shd w:val="clear" w:color="auto" w:fill="ffffff"/>
            <w:tcBorders>
              <w:top w:val="none" w:color="000000" w:sz="4" w:space="0"/>
              <w:left w:val="none" w:color="000000" w:sz="4" w:space="0"/>
              <w:bottom w:val="single" w:color="auto" w:sz="4" w:space="0"/>
              <w:right w:val="none" w:color="000000" w:sz="4" w:space="0"/>
            </w:tcBorders>
            <w:tcW w:w="402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及水围基厚度1.5mm，侧板、前面板、后背板厚度1.2mm；炉头采用节能炉头；250W铝壳双风机；灶体骨架采用40*40mm国标镀锌角铁；灶台面下衬3mm厚铁板，优质耐火棉隔热；黑铁炉膛结构及烟道采用3mm厚铁板，炉膛采用耐火砖砌洁而成；炉通脚采用φ50mm不锈钢管，能效：一级能效。功率：0.5KW*1/220V </w:t>
            </w:r>
            <w:r/>
          </w:p>
        </w:tc>
      </w:tr>
      <w:tr>
        <w:trPr>
          <w:trHeight w:val="494"/>
        </w:trPr>
        <w:tc>
          <w:tcPr>
            <w:shd w:val="clear" w:color="auto" w:fill="ffffff"/>
            <w:tcBorders>
              <w:top w:val="single" w:color="auto" w:sz="4" w:space="0"/>
              <w:left w:val="single" w:color="auto" w:sz="4" w:space="0"/>
              <w:bottom w:val="single" w:color="auto" w:sz="4" w:space="0"/>
              <w:right w:val="single" w:color="auto"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3C燃气双炒双尾灶</w:t>
            </w:r>
            <w:r/>
          </w:p>
        </w:tc>
        <w:tc>
          <w:tcPr>
            <w:shd w:val="clear" w:color="auto" w:fill="ffffff"/>
            <w:tcBorders>
              <w:top w:val="single" w:color="auto" w:sz="4" w:space="0"/>
              <w:left w:val="single" w:color="auto" w:sz="4" w:space="0"/>
              <w:bottom w:val="single" w:color="auto" w:sz="4" w:space="0"/>
              <w:right w:val="single" w:color="auto"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1800*1200*800</w:t>
            </w:r>
            <w:r/>
          </w:p>
        </w:tc>
        <w:tc>
          <w:tcPr>
            <w:shd w:val="clear" w:color="auto" w:fill="ffffff"/>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108585</wp:posOffset>
                      </wp:positionV>
                      <wp:extent cx="610235" cy="887095"/>
                      <wp:effectExtent l="0" t="0" r="14604" b="12065"/>
                      <wp:wrapNone/>
                      <wp:docPr id="50" name="图片_44"/>
                      <wp:cNvGraphicFramePr/>
                      <a:graphic xmlns:a="http://schemas.openxmlformats.org/drawingml/2006/main">
                        <a:graphicData uri="http://schemas.openxmlformats.org/drawingml/2006/picture">
                          <pic:pic xmlns:pic="http://schemas.openxmlformats.org/drawingml/2006/picture">
                            <pic:nvPicPr>
                              <pic:cNvPr id="82" name="图片_44"/>
                              <pic:cNvPicPr/>
                              <pic:nvPr/>
                            </pic:nvPicPr>
                            <pic:blipFill>
                              <a:blip r:embed="rId56"/>
                              <a:stretch/>
                            </pic:blipFill>
                            <pic:spPr bwMode="auto">
                              <a:xfrm>
                                <a:off x="0" y="0"/>
                                <a:ext cx="61023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6.8pt;mso-position-horizontal:absolute;mso-position-vertical-relative:text;margin-top:8.5pt;mso-position-vertical:absolute;width:48.0pt;height:69.8pt;mso-wrap-distance-left:9.0pt;mso-wrap-distance-top:0.0pt;mso-wrap-distance-right:9.0pt;mso-wrap-distance-bottom:0.0pt;" stroked="f">
                      <v:path textboxrect="0,0,0,0"/>
                      <v:imagedata r:id="rId56" o:title=""/>
                    </v:shape>
                  </w:pict>
                </mc:Fallback>
              </mc:AlternateContent>
            </w:r>
            <w:r/>
          </w:p>
        </w:tc>
        <w:tc>
          <w:tcPr>
            <w:shd w:val="clear" w:color="auto" w:fill="ffffff"/>
            <w:tcBorders>
              <w:top w:val="single" w:color="auto" w:sz="4" w:space="0"/>
              <w:left w:val="single" w:color="auto" w:sz="4" w:space="0"/>
              <w:bottom w:val="single" w:color="auto" w:sz="4" w:space="0"/>
              <w:right w:val="single" w:color="auto" w:sz="4" w:space="0"/>
            </w:tcBorders>
            <w:tcW w:w="402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及水围基厚度1.5mm，侧板、前面板、后背板厚度1.2mm；炉头采用节能炉头；250W铝壳风机；配φ800mm加厚生铁锅；灶体骨架采用40*40mm国标镀锌角铁；灶台面下衬3mm厚铁板，优质耐火棉隔热；黑铁炉膛结构及烟道采用3mm厚铁板，炉膛采用耐火砖砌洁而成；炉通脚采用φ50mm不锈钢管，能效：一级能效。功率：0.5KW*1/220V </w:t>
            </w:r>
            <w:r/>
          </w:p>
        </w:tc>
      </w:tr>
      <w:tr>
        <w:trPr>
          <w:trHeight w:val="2080"/>
        </w:trPr>
        <w:tc>
          <w:tcPr>
            <w:shd w:val="clear" w:color="auto" w:fill="ffffff"/>
            <w:tcBorders>
              <w:top w:val="single" w:color="auto"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auto"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电磁三门海鲜蒸柜</w:t>
            </w:r>
            <w:r/>
          </w:p>
        </w:tc>
        <w:tc>
          <w:tcPr>
            <w:shd w:val="clear" w:color="auto" w:fill="ffffff"/>
            <w:tcBorders>
              <w:top w:val="single" w:color="auto"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900*900*1850</w:t>
            </w:r>
            <w:r/>
          </w:p>
        </w:tc>
        <w:tc>
          <w:tcPr>
            <w:shd w:val="clear" w:color="auto" w:fill="ffffff"/>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128905</wp:posOffset>
                      </wp:positionV>
                      <wp:extent cx="704850" cy="1057910"/>
                      <wp:effectExtent l="0" t="0" r="11430" b="8890"/>
                      <wp:wrapNone/>
                      <wp:docPr id="51" name="图片_31_SpCnt_1"/>
                      <wp:cNvGraphicFramePr/>
                      <a:graphic xmlns:a="http://schemas.openxmlformats.org/drawingml/2006/main">
                        <a:graphicData uri="http://schemas.openxmlformats.org/drawingml/2006/picture">
                          <pic:pic xmlns:pic="http://schemas.openxmlformats.org/drawingml/2006/picture">
                            <pic:nvPicPr>
                              <pic:cNvPr id="64" name="图片_31_SpCnt_1"/>
                              <pic:cNvPicPr/>
                              <pic:nvPr/>
                            </pic:nvPicPr>
                            <pic:blipFill>
                              <a:blip r:embed="rId57"/>
                              <a:stretch/>
                            </pic:blipFill>
                            <pic:spPr bwMode="auto">
                              <a:xfrm>
                                <a:off x="0" y="0"/>
                                <a:ext cx="704850"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9.0pt;mso-position-horizontal:absolute;mso-position-vertical-relative:text;margin-top:10.2pt;mso-position-vertical:absolute;width:55.5pt;height:83.3pt;mso-wrap-distance-left:9.0pt;mso-wrap-distance-top:0.0pt;mso-wrap-distance-right:9.0pt;mso-wrap-distance-bottom:0.0pt;" stroked="f">
                      <v:path textboxrect="0,0,0,0"/>
                      <v:imagedata r:id="rId57" o:title=""/>
                    </v:shape>
                  </w:pict>
                </mc:Fallback>
              </mc:AlternateContent>
            </w:r>
            <w:r/>
          </w:p>
        </w:tc>
        <w:tc>
          <w:tcPr>
            <w:shd w:val="clear" w:color="auto" w:fill="ffffff"/>
            <w:tcBorders>
              <w:top w:val="single" w:color="auto"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功率：30KW/380V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1.产品采用符合不锈钢化学成分检验合格的SUS304不锈钢磨砂板，台面一次成型。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2.产品采用≥8档360度旋转火力开关，开关控制模块依据GB/T4208-2017《外壳防护等级（IP代码）》检验：IP6X防尘试验、IPX7防水试验两项检验合格。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3.前板配置防误动开关，紧急情况一键切断电源，安全升级更有保障。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4.机芯采用分层次散热结构，机芯外壳全密封设计，采用抗干扰机箱；机芯数据线采用工业级航空插座，抗拉力强。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5.软启动技术，超宽工作电压设计，具有3h自动关机功能，自动报警装置，安全更省心。 </w:t>
            </w:r>
            <w:r/>
          </w:p>
        </w:tc>
      </w:tr>
      <w:tr>
        <w:trPr>
          <w:trHeight w:val="15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电磁炉低汤灶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124460</wp:posOffset>
                      </wp:positionV>
                      <wp:extent cx="771525" cy="671195"/>
                      <wp:effectExtent l="0" t="0" r="5715" b="14604"/>
                      <wp:wrapNone/>
                      <wp:docPr id="52" name="图片_1_SpCnt_1"/>
                      <wp:cNvGraphicFramePr/>
                      <a:graphic xmlns:a="http://schemas.openxmlformats.org/drawingml/2006/main">
                        <a:graphicData uri="http://schemas.openxmlformats.org/drawingml/2006/picture">
                          <pic:pic xmlns:pic="http://schemas.openxmlformats.org/drawingml/2006/picture">
                            <pic:nvPicPr>
                              <pic:cNvPr id="54" name="图片_1_SpCnt_1"/>
                              <pic:cNvPicPr/>
                              <pic:nvPr/>
                            </pic:nvPicPr>
                            <pic:blipFill>
                              <a:blip r:embed="rId58"/>
                              <a:stretch/>
                            </pic:blipFill>
                            <pic:spPr bwMode="auto">
                              <a:xfrm>
                                <a:off x="0" y="0"/>
                                <a:ext cx="771525"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0.5pt;mso-position-horizontal:absolute;mso-position-vertical-relative:text;margin-top:9.8pt;mso-position-vertical:absolute;width:60.8pt;height:52.8pt;mso-wrap-distance-left:9.0pt;mso-wrap-distance-top:0.0pt;mso-wrap-distance-right:9.0pt;mso-wrap-distance-bottom:0.0pt;" stroked="f">
                      <v:path textboxrect="0,0,0,0"/>
                      <v:imagedata r:id="rId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1.产品规格：700*850*（530+720）mm，15kw/380v，380V三相四线（安装线径：4*6mm²，漏电保护开关规格：40A/3P），设备可配450或者500汤锅。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水龙头：配备不锈钢摇摆水龙头，可以 180度旋转，安全防漏。                       </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163195</wp:posOffset>
                      </wp:positionV>
                      <wp:extent cx="695325" cy="628015"/>
                      <wp:effectExtent l="0" t="0" r="5715" b="12065"/>
                      <wp:wrapNone/>
                      <wp:docPr id="53" name="图片_26_SpCnt_1"/>
                      <wp:cNvGraphicFramePr/>
                      <a:graphic xmlns:a="http://schemas.openxmlformats.org/drawingml/2006/main">
                        <a:graphicData uri="http://schemas.openxmlformats.org/drawingml/2006/picture">
                          <pic:pic xmlns:pic="http://schemas.openxmlformats.org/drawingml/2006/picture">
                            <pic:nvPicPr>
                              <pic:cNvPr id="49" name="图片_26_SpCnt_1"/>
                              <pic:cNvPicPr/>
                              <pic:nvPr/>
                            </pic:nvPicPr>
                            <pic:blipFill>
                              <a:blip r:embed="rId59"/>
                              <a:stretch/>
                            </pic:blipFill>
                            <pic:spPr bwMode="auto">
                              <a:xfrm>
                                <a:off x="0" y="0"/>
                                <a:ext cx="69532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9.8pt;mso-position-horizontal:absolute;mso-position-vertical-relative:text;margin-top:12.8pt;mso-position-vertical:absolute;width:54.8pt;height:49.4pt;mso-wrap-distance-left:9.0pt;mso-wrap-distance-top:0.0pt;mso-wrap-distance-right:9.0pt;mso-wrap-distance-bottom:0.0pt;" stroked="f">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1.本产品采用SUS304优质不锈钢砂板制作；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2.开门方式为左右移门；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3.面板1.5mm厚、底板、层板做1.2mm厚；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4.无地台脚配可调节不锈钢脚；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5.拼装焊接要正、要牢固平整、打磨、抛光、拉丝要精细，不能有凹凸不平和黑色抛光蜡现象出现。</w: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1230*700*1900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821690</wp:posOffset>
                      </wp:positionV>
                      <wp:extent cx="781685" cy="684530"/>
                      <wp:effectExtent l="0" t="0" r="10795" b="1270"/>
                      <wp:wrapNone/>
                      <wp:docPr id="54" name="图片_17_SpCnt_3"/>
                      <wp:cNvGraphicFramePr/>
                      <a:graphic xmlns:a="http://schemas.openxmlformats.org/drawingml/2006/main">
                        <a:graphicData uri="http://schemas.openxmlformats.org/drawingml/2006/picture">
                          <pic:pic xmlns:pic="http://schemas.openxmlformats.org/drawingml/2006/picture">
                            <pic:nvPicPr>
                              <pic:cNvPr id="50" name="图片_17_SpCnt_3"/>
                              <pic:cNvPicPr/>
                              <pic:nvPr/>
                            </pic:nvPicPr>
                            <pic:blipFill>
                              <a:blip r:embed="rId60"/>
                              <a:stretch/>
                            </pic:blipFill>
                            <pic:spPr bwMode="auto">
                              <a:xfrm>
                                <a:off x="0" y="0"/>
                                <a:ext cx="78168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5.9pt;mso-position-horizontal:absolute;mso-position-vertical-relative:text;margin-top:64.7pt;mso-position-vertical:absolute;width:61.5pt;height:53.9pt;mso-wrap-distance-left:9.0pt;mso-wrap-distance-top:0.0pt;mso-wrap-distance-right:9.0pt;mso-wrap-distance-bottom:0.0pt;" stroked="f">
                      <v:path textboxrect="0,0,0,0"/>
                      <v:imagedata r:id="rId6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1.温度范围：冷藏室温度设置：+1℃~ -4℃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；冷冻室温度设置：+0℃~ -18℃；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2.四门带锁,自动回归门；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3.采用无CFC的环保雪种（R290)，柜体75mm环保绝缘材料；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4.制冷方式：风冷；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5.蒸发器化霜水自动蒸发；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6.可放置8*2/1GN盆,GN盆和搁物架可以自由交换；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7.浸塑层架数量（标配）：4层共8个；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8.外箱材料：SUS304不锈钢；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9.内箱材料：SUS304不锈钢；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10.可承受43℃环境温度；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11.150mm高可调子弹脚；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12.温控类型：电子温控；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13.电压/频率，整机功率：220V/50HZ，560w；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14.符合卫生标准；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ascii="SimSun" w:hAnsi="SimSun" w:eastAsia="SimSun" w:cs="SimSun"/>
                <w:color w:val="000000"/>
                <w:sz w:val="20"/>
              </w:rPr>
              <w:t xml:space="preserve">15.整体式顶置制冷系统，辅以独特的风道设计，制冷迅速均匀且方便维修。</w:t>
            </w:r>
            <w:r/>
            <w:r>
              <w:rPr>
                <w:rFonts w:hint="eastAsia" w:ascii="宋体" w:hAnsi="宋体" w:eastAsia="宋体" w:cs="宋体"/>
                <w:i w:val="0"/>
                <w:iCs w:val="0"/>
                <w:color w:val="000000"/>
                <w:sz w:val="20"/>
                <w:szCs w:val="20"/>
                <w:u w:val="none"/>
                <w:lang w:val="en-US" w:eastAsia="zh-CN" w:bidi="ar"/>
              </w:rPr>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单通打荷台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163195</wp:posOffset>
                      </wp:positionV>
                      <wp:extent cx="695325" cy="628015"/>
                      <wp:effectExtent l="0" t="0" r="5715" b="12065"/>
                      <wp:wrapNone/>
                      <wp:docPr id="55" name="图片_26_SpCnt_2"/>
                      <wp:cNvGraphicFramePr/>
                      <a:graphic xmlns:a="http://schemas.openxmlformats.org/drawingml/2006/main">
                        <a:graphicData uri="http://schemas.openxmlformats.org/drawingml/2006/picture">
                          <pic:pic xmlns:pic="http://schemas.openxmlformats.org/drawingml/2006/picture">
                            <pic:nvPicPr>
                              <pic:cNvPr id="41" name="图片_26_SpCnt_2"/>
                              <pic:cNvPicPr/>
                              <pic:nvPr/>
                            </pic:nvPicPr>
                            <pic:blipFill>
                              <a:blip r:embed="rId59"/>
                              <a:stretch/>
                            </pic:blipFill>
                            <pic:spPr bwMode="auto">
                              <a:xfrm>
                                <a:off x="0" y="0"/>
                                <a:ext cx="69532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9.8pt;mso-position-horizontal:absolute;mso-position-vertical-relative:text;margin-top:12.8pt;mso-position-vertical:absolute;width:54.8pt;height:49.4pt;mso-wrap-distance-left:9.0pt;mso-wrap-distance-top:0.0pt;mso-wrap-distance-right:9.0pt;mso-wrap-distance-bottom:0.0pt;" stroked="f">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1.本产品采用SUS304优质不锈钢砂板制作；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2.开门方式为左右移门；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3.面板1.5mm厚、底板、层板做1.2mm厚；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4.无地台脚配可调节不锈钢脚；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5.拼装焊接要正、要牢固平整、打磨、抛光、拉丝要精细，不能有凹凸不平和黑色抛光蜡现象出现。</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95250</wp:posOffset>
                      </wp:positionV>
                      <wp:extent cx="723265" cy="534670"/>
                      <wp:effectExtent l="0" t="0" r="8255" b="13970"/>
                      <wp:wrapNone/>
                      <wp:docPr id="56" name="图片_13_SpCnt_2"/>
                      <wp:cNvGraphicFramePr/>
                      <a:graphic xmlns:a="http://schemas.openxmlformats.org/drawingml/2006/main">
                        <a:graphicData uri="http://schemas.openxmlformats.org/drawingml/2006/picture">
                          <pic:pic xmlns:pic="http://schemas.openxmlformats.org/drawingml/2006/picture">
                            <pic:nvPicPr>
                              <pic:cNvPr id="42" name="图片_13_SpCnt_2"/>
                              <pic:cNvPicPr/>
                              <pic:nvPr/>
                            </pic:nvPicPr>
                            <pic:blipFill>
                              <a:blip r:embed="rId61"/>
                              <a:stretch/>
                            </pic:blipFill>
                            <pic:spPr bwMode="auto">
                              <a:xfrm>
                                <a:off x="0" y="0"/>
                                <a:ext cx="72326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8.2pt;mso-position-horizontal:absolute;mso-position-vertical-relative:text;margin-top:7.5pt;mso-position-vertical:absolute;width:56.9pt;height:42.1pt;mso-wrap-distance-left:9.0pt;mso-wrap-distance-top:0.0pt;mso-wrap-distance-right:9.0pt;mso-wrap-distance-bottom:0.0pt;" stroked="f">
                      <v:path textboxrect="0,0,0,0"/>
                      <v:imagedata r:id="rId6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材料采用SUS304不锈钢板制作，珐纹处理，氩焊处满焊，抛光打磨。台面厚度δ=1.5mm，下层板厚度δ=1.2mm，腿采用φ38*1.2mm圆管制作,采用不锈钢子弹脚。</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201295</wp:posOffset>
                      </wp:positionV>
                      <wp:extent cx="656590" cy="475615"/>
                      <wp:effectExtent l="0" t="0" r="13970" b="12065"/>
                      <wp:wrapNone/>
                      <wp:docPr id="57" name="图片_31_SpCnt_2"/>
                      <wp:cNvGraphicFramePr/>
                      <a:graphic xmlns:a="http://schemas.openxmlformats.org/drawingml/2006/main">
                        <a:graphicData uri="http://schemas.openxmlformats.org/drawingml/2006/picture">
                          <pic:pic xmlns:pic="http://schemas.openxmlformats.org/drawingml/2006/picture">
                            <pic:nvPicPr>
                              <pic:cNvPr id="51" name="图片_31_SpCnt_2"/>
                              <pic:cNvPicPr/>
                              <pic:nvPr/>
                            </pic:nvPicPr>
                            <pic:blipFill>
                              <a:blip r:embed="rId62"/>
                              <a:stretch/>
                            </pic:blipFill>
                            <pic:spPr bwMode="auto">
                              <a:xfrm>
                                <a:off x="0" y="0"/>
                                <a:ext cx="65659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1.2pt;mso-position-horizontal:absolute;mso-position-vertical-relative:text;margin-top:15.8pt;mso-position-vertical:absolute;width:51.7pt;height:37.4pt;mso-wrap-distance-left:9.0pt;mso-wrap-distance-top:0.0pt;mso-wrap-distance-right:9.0pt;mso-wrap-distance-bottom:0.0pt;" stroked="f">
                      <v:path textboxrect="0,0,0,0"/>
                      <v:imagedata r:id="rId6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6.不锈钢下水器。</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鸭颈式</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93980</wp:posOffset>
                      </wp:positionV>
                      <wp:extent cx="685800" cy="714375"/>
                      <wp:effectExtent l="0" t="0" r="0" b="1905"/>
                      <wp:wrapNone/>
                      <wp:docPr id="58" name="图片_11_SpCnt_5"/>
                      <wp:cNvGraphicFramePr/>
                      <a:graphic xmlns:a="http://schemas.openxmlformats.org/drawingml/2006/main">
                        <a:graphicData uri="http://schemas.openxmlformats.org/drawingml/2006/picture">
                          <pic:pic xmlns:pic="http://schemas.openxmlformats.org/drawingml/2006/picture">
                            <pic:nvPicPr>
                              <pic:cNvPr id="58" name="图片_11_SpCnt_5"/>
                              <pic:cNvPicPr/>
                              <pic:nvPr/>
                            </pic:nvPicPr>
                            <pic:blipFill>
                              <a:blip r:embed="rId31"/>
                              <a:stretch/>
                            </pic:blipFill>
                            <pic:spPr bwMode="auto">
                              <a:xfrm>
                                <a:off x="0" y="0"/>
                                <a:ext cx="685800"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9.8pt;mso-position-horizontal:absolute;mso-position-vertical-relative:text;margin-top:7.4pt;mso-position-vertical:absolute;width:54.0pt;height:56.2pt;mso-wrap-distance-left:9.0pt;mso-wrap-distance-top:0.0pt;mso-wrap-distance-right:9.0pt;mso-wrap-distance-bottom:0.0pt;" stroked="f">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1.座台式双孔双温、主体黄铜铸造表面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抛光镀铬处理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2.配1/4转优质陶瓷阀芯一字型手柄；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3.十寸（254mm）平颈水嘴，360度可旋转；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4.开孔尺寸25mm*2,左右开孔间距203mm(偏芯设计可调范围15mm)，进水接口为标准1/2"外螺纹；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5.总高度230mm,出水口距台面 149mm。</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65405</wp:posOffset>
                      </wp:positionV>
                      <wp:extent cx="618490" cy="628015"/>
                      <wp:effectExtent l="0" t="0" r="6350" b="12065"/>
                      <wp:wrapNone/>
                      <wp:docPr id="59" name="图片_41_SpCnt_5"/>
                      <wp:cNvGraphicFramePr/>
                      <a:graphic xmlns:a="http://schemas.openxmlformats.org/drawingml/2006/main">
                        <a:graphicData uri="http://schemas.openxmlformats.org/drawingml/2006/picture">
                          <pic:pic xmlns:pic="http://schemas.openxmlformats.org/drawingml/2006/picture">
                            <pic:nvPicPr>
                              <pic:cNvPr id="52" name="图片_41_SpCnt_5"/>
                              <pic:cNvPicPr/>
                              <pic:nvPr/>
                            </pic:nvPicPr>
                            <pic:blipFill>
                              <a:blip r:embed="rId10"/>
                              <a:stretch/>
                            </pic:blipFill>
                            <pic:spPr bwMode="auto">
                              <a:xfrm>
                                <a:off x="0" y="0"/>
                                <a:ext cx="61849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4.3pt;mso-position-horizontal:absolute;mso-position-vertical-relative:text;margin-top:5.1pt;mso-position-vertical:absolute;width:48.7pt;height:49.4pt;mso-wrap-distance-left:9.0pt;mso-wrap-distance-top:0.0pt;mso-wrap-distance-right:9.0pt;mso-wrap-distance-bottom:0.0pt;" stroked="f">
                      <v:path textboxrect="0,0,0,0"/>
                      <v:imagedata r:id="rId1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1.管架SUS304 1.5㎜厚38×38㎜不锈钢方管；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2.层梁用SUS304 1.2㎜厚不锈钢38×25方管,间隔条用1.0㎜不锈钢30×15方管,骨条间距50㎜；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3.38×38不锈钢管及高度调整钢脚。</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UV油烟一体机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10000*1300*1000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181610</wp:posOffset>
                      </wp:positionV>
                      <wp:extent cx="610235" cy="532765"/>
                      <wp:effectExtent l="0" t="0" r="14604" b="635"/>
                      <wp:wrapNone/>
                      <wp:docPr id="60" name="图片_26_SpCnt_3"/>
                      <wp:cNvGraphicFramePr/>
                      <a:graphic xmlns:a="http://schemas.openxmlformats.org/drawingml/2006/main">
                        <a:graphicData uri="http://schemas.openxmlformats.org/drawingml/2006/picture">
                          <pic:pic xmlns:pic="http://schemas.openxmlformats.org/drawingml/2006/picture">
                            <pic:nvPicPr>
                              <pic:cNvPr id="44" name="图片_26_SpCnt_3"/>
                              <pic:cNvPicPr/>
                              <pic:nvPr/>
                            </pic:nvPicPr>
                            <pic:blipFill>
                              <a:blip r:embed="rId63"/>
                              <a:stretch/>
                            </pic:blipFill>
                            <pic:spPr bwMode="auto">
                              <a:xfrm>
                                <a:off x="0" y="0"/>
                                <a:ext cx="61023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9.0pt;mso-position-horizontal:absolute;mso-position-vertical-relative:text;margin-top:14.3pt;mso-position-vertical:absolute;width:48.0pt;height:41.9pt;mso-wrap-distance-left:9.0pt;mso-wrap-distance-top:0.0pt;mso-wrap-distance-right:9.0pt;mso-wrap-distance-bottom:0.0pt;" stroked="f">
                      <v:path textboxrect="0,0,0,0"/>
                      <v:imagedata r:id="rId6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1.罩壳体采用SUS304B不锈钢板材，厚度1.0mm 2.采用静电光解复合式油烟净化，UV管净味，油烟净化、净味率达98%。          2.功率：3KW*5/380V </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56515</wp:posOffset>
                      </wp:positionV>
                      <wp:extent cx="704850" cy="551815"/>
                      <wp:effectExtent l="0" t="0" r="11430" b="12065"/>
                      <wp:wrapNone/>
                      <wp:docPr id="61" name="图片_28_SpCnt_2"/>
                      <wp:cNvGraphicFramePr/>
                      <a:graphic xmlns:a="http://schemas.openxmlformats.org/drawingml/2006/main">
                        <a:graphicData uri="http://schemas.openxmlformats.org/drawingml/2006/picture">
                          <pic:pic xmlns:pic="http://schemas.openxmlformats.org/drawingml/2006/picture">
                            <pic:nvPicPr>
                              <pic:cNvPr id="47" name="图片_28_SpCnt_2"/>
                              <pic:cNvPicPr/>
                              <pic:nvPr/>
                            </pic:nvPicPr>
                            <pic:blipFill>
                              <a:blip r:embed="rId64"/>
                              <a:stretch/>
                            </pic:blipFill>
                            <pic:spPr bwMode="auto">
                              <a:xfrm>
                                <a:off x="0" y="0"/>
                                <a:ext cx="704850"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9.0pt;mso-position-horizontal:absolute;mso-position-vertical-relative:text;margin-top:4.5pt;mso-position-vertical:absolute;width:55.5pt;height:43.4pt;mso-wrap-distance-left:9.0pt;mso-wrap-distance-top:0.0pt;mso-wrap-distance-right:9.0pt;mso-wrap-distance-bottom:0.0pt;" stroked="f">
                      <v:path textboxrect="0,0,0,0"/>
                      <v:imagedata r:id="rId6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采用SUS304不锈钢板材1.2mm，</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67945</wp:posOffset>
                      </wp:positionV>
                      <wp:extent cx="771525" cy="684530"/>
                      <wp:effectExtent l="0" t="0" r="5715" b="1270"/>
                      <wp:wrapNone/>
                      <wp:docPr id="62" name="图片_20_SpCnt_6"/>
                      <wp:cNvGraphicFramePr/>
                      <a:graphic xmlns:a="http://schemas.openxmlformats.org/drawingml/2006/main">
                        <a:graphicData uri="http://schemas.openxmlformats.org/drawingml/2006/picture">
                          <pic:pic xmlns:pic="http://schemas.openxmlformats.org/drawingml/2006/picture">
                            <pic:nvPicPr>
                              <pic:cNvPr id="53" name="图片_20_SpCnt_6"/>
                              <pic:cNvPicPr/>
                              <pic:nvPr/>
                            </pic:nvPicPr>
                            <pic:blipFill>
                              <a:blip r:embed="rId38"/>
                              <a:stretch/>
                            </pic:blipFill>
                            <pic:spPr bwMode="auto">
                              <a:xfrm>
                                <a:off x="0" y="0"/>
                                <a:ext cx="77152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5.2pt;mso-position-horizontal:absolute;mso-position-vertical-relative:text;margin-top:5.3pt;mso-position-vertical:absolute;width:60.8pt;height:53.9pt;mso-wrap-distance-left:9.0pt;mso-wrap-distance-top:0.0pt;mso-wrap-distance-right:9.0pt;mso-wrap-distance-bottom:0.0pt;" stroked="f">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1.环氧外壳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2.敞开式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3.软管长度：15米</w:t>
            </w:r>
            <w:r/>
          </w:p>
        </w:tc>
      </w:tr>
      <w:tr>
        <w:trPr>
          <w:trHeight w:val="420"/>
        </w:trPr>
        <w:tc>
          <w:tcPr>
            <w:gridSpan w:val="7"/>
            <w:shd w:val="clear" w:color="auto" w:fill="ffffff"/>
            <w:tcBorders>
              <w:top w:val="single" w:color="000000" w:sz="4" w:space="0"/>
              <w:left w:val="single" w:color="000000" w:sz="4" w:space="0"/>
              <w:bottom w:val="single" w:color="auto"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售饭间</w:t>
            </w:r>
            <w:r/>
          </w:p>
        </w:tc>
      </w:tr>
      <w:tr>
        <w:trPr>
          <w:trHeight w:val="1399"/>
        </w:trPr>
        <w:tc>
          <w:tcPr>
            <w:shd w:val="clear" w:color="auto" w:fill="ffffff"/>
            <w:tcBorders>
              <w:top w:val="single" w:color="auto" w:sz="4" w:space="0"/>
              <w:left w:val="single" w:color="auto"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ffffff"/>
            <w:tcBorders>
              <w:top w:val="single" w:color="auto" w:sz="4" w:space="0"/>
              <w:left w:val="single" w:color="000000" w:sz="4" w:space="0"/>
              <w:bottom w:val="single" w:color="auto"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250*175*488</w:t>
            </w:r>
            <w:r/>
          </w:p>
        </w:tc>
        <w:tc>
          <w:tcPr>
            <w:shd w:val="clear" w:color="auto" w:fill="ffffff"/>
            <w:tcBorders>
              <w:top w:val="single" w:color="auto"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132080</wp:posOffset>
                      </wp:positionV>
                      <wp:extent cx="638175" cy="572135"/>
                      <wp:effectExtent l="0" t="0" r="1905" b="6985"/>
                      <wp:wrapNone/>
                      <wp:docPr id="63" name="图片_70"/>
                      <wp:cNvGraphicFramePr/>
                      <a:graphic xmlns:a="http://schemas.openxmlformats.org/drawingml/2006/main">
                        <a:graphicData uri="http://schemas.openxmlformats.org/drawingml/2006/picture">
                          <pic:pic xmlns:pic="http://schemas.openxmlformats.org/drawingml/2006/picture">
                            <pic:nvPicPr>
                              <pic:cNvPr id="48" name="图片_70"/>
                              <pic:cNvPicPr/>
                              <pic:nvPr/>
                            </pic:nvPicPr>
                            <pic:blipFill>
                              <a:blip r:embed="rId65"/>
                              <a:stretch/>
                            </pic:blipFill>
                            <pic:spPr bwMode="auto">
                              <a:xfrm>
                                <a:off x="0" y="0"/>
                                <a:ext cx="638175" cy="572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10.5pt;mso-position-horizontal:absolute;mso-position-vertical-relative:text;margin-top:10.4pt;mso-position-vertical:absolute;width:50.2pt;height:45.0pt;mso-wrap-distance-left:9.0pt;mso-wrap-distance-top:0.0pt;mso-wrap-distance-right:9.0pt;mso-wrap-distance-bottom:0.0pt;" stroked="f">
                      <v:path textboxrect="0,0,0,0"/>
                      <v:imagedata r:id="rId65" o:title=""/>
                    </v:shape>
                  </w:pict>
                </mc:Fallback>
              </mc:AlternateContent>
            </w:r>
            <w:r/>
          </w:p>
        </w:tc>
        <w:tc>
          <w:tcPr>
            <w:shd w:val="clear" w:color="auto" w:fill="ffffff"/>
            <w:tcBorders>
              <w:top w:val="single" w:color="auto" w:sz="4" w:space="0"/>
              <w:left w:val="none" w:color="000000" w:sz="4" w:space="0"/>
              <w:bottom w:val="single" w:color="auto" w:sz="4" w:space="0"/>
              <w:right w:val="single" w:color="auto" w:sz="4" w:space="0"/>
            </w:tcBorders>
            <w:tcW w:w="4020"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1.额定功率：1400W；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 速：110m/s ；</w:t>
            </w:r>
            <w:r/>
          </w:p>
          <w:p>
            <w:pPr>
              <w:numPr>
                <w:ilvl w:val="0"/>
                <w:numId w:val="0"/>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3.电机：串励电机；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4.外壳材料：ABS树脂； </w:t>
            </w:r>
            <w:r/>
          </w:p>
          <w:p>
            <w:pPr>
              <w:numPr>
                <w:ilvl w:val="0"/>
                <w:numId w:val="0"/>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5.防水等级：IPX4；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5.重量4.3kg； </w:t>
            </w:r>
            <w:r/>
          </w:p>
          <w:p>
            <w:pPr>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6.尺寸：250*175*488mm；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7.功能配置：智能冷热风、儿童保护系统、45超时保护。</w:t>
            </w:r>
            <w:r/>
          </w:p>
        </w:tc>
      </w:tr>
      <w:tr>
        <w:trPr>
          <w:trHeight w:val="1399"/>
        </w:trPr>
        <w:tc>
          <w:tcPr>
            <w:shd w:val="clear" w:color="auto" w:fill="ffffff"/>
            <w:tcBorders>
              <w:top w:val="single" w:color="auto"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ffffff"/>
            <w:tcBorders>
              <w:top w:val="single" w:color="auto"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鸭颈式</w:t>
            </w:r>
            <w:r/>
          </w:p>
        </w:tc>
        <w:tc>
          <w:tcPr>
            <w:shd w:val="clear" w:color="auto" w:fill="ffffff"/>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auto"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114300</wp:posOffset>
                      </wp:positionV>
                      <wp:extent cx="704215" cy="562610"/>
                      <wp:effectExtent l="0" t="0" r="12065" b="1270"/>
                      <wp:wrapNone/>
                      <wp:docPr id="64" name="图片_33"/>
                      <wp:cNvGraphicFramePr/>
                      <a:graphic xmlns:a="http://schemas.openxmlformats.org/drawingml/2006/main">
                        <a:graphicData uri="http://schemas.openxmlformats.org/drawingml/2006/picture">
                          <pic:pic xmlns:pic="http://schemas.openxmlformats.org/drawingml/2006/picture">
                            <pic:nvPicPr>
                              <pic:cNvPr id="57" name="图片_33"/>
                              <pic:cNvPicPr/>
                              <pic:nvPr/>
                            </pic:nvPicPr>
                            <pic:blipFill>
                              <a:blip r:embed="rId66"/>
                              <a:stretch/>
                            </pic:blipFill>
                            <pic:spPr bwMode="auto">
                              <a:xfrm>
                                <a:off x="0" y="0"/>
                                <a:ext cx="70421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1.2pt;mso-position-horizontal:absolute;mso-position-vertical-relative:text;margin-top:9.0pt;mso-position-vertical:absolute;width:55.4pt;height:44.3pt;mso-wrap-distance-left:9.0pt;mso-wrap-distance-top:0.0pt;mso-wrap-distance-right:9.0pt;mso-wrap-distance-bottom:0.0pt;" stroked="f">
                      <v:path textboxrect="0,0,0,0"/>
                      <v:imagedata r:id="rId66" o:title=""/>
                    </v:shape>
                  </w:pict>
                </mc:Fallback>
              </mc:AlternateContent>
            </w:r>
            <w:r/>
          </w:p>
        </w:tc>
        <w:tc>
          <w:tcPr>
            <w:shd w:val="clear" w:color="auto" w:fill="ffffff"/>
            <w:tcBorders>
              <w:top w:val="single" w:color="auto"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1.座台式双孔双温、主体黄铜铸造表面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抛光镀铬处理；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2.配1/4转优质陶瓷阀芯一字型手柄；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3.十寸（254mm）平颈水嘴，360度可旋转；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4.开孔尺寸25mm*2,左右开孔间距203mm(偏芯设计可调范围15mm)，进水接口为标准1/2"外螺纹；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5.总高度230mm,出水口距台面 149mm。</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66040</wp:posOffset>
                      </wp:positionV>
                      <wp:extent cx="808990" cy="715010"/>
                      <wp:effectExtent l="0" t="0" r="13970" b="1270"/>
                      <wp:wrapNone/>
                      <wp:docPr id="65" name="图片_32_SpCnt_2"/>
                      <wp:cNvGraphicFramePr/>
                      <a:graphic xmlns:a="http://schemas.openxmlformats.org/drawingml/2006/main">
                        <a:graphicData uri="http://schemas.openxmlformats.org/drawingml/2006/picture">
                          <pic:pic xmlns:pic="http://schemas.openxmlformats.org/drawingml/2006/picture">
                            <pic:nvPicPr>
                              <pic:cNvPr id="56" name="图片_32_SpCnt_2"/>
                              <pic:cNvPicPr/>
                              <pic:nvPr/>
                            </pic:nvPicPr>
                            <pic:blipFill>
                              <a:blip r:embed="rId30"/>
                              <a:stretch/>
                            </pic:blipFill>
                            <pic:spPr bwMode="auto">
                              <a:xfrm>
                                <a:off x="0" y="0"/>
                                <a:ext cx="808989"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4.5pt;mso-position-horizontal:absolute;mso-position-vertical-relative:text;margin-top:5.2pt;mso-position-vertical:absolute;width:63.7pt;height:56.3pt;mso-wrap-distance-left:9.0pt;mso-wrap-distance-top:0.0pt;mso-wrap-distance-right:9.0pt;mso-wrap-distance-bottom:0.0pt;" stroked="f">
                      <v:path textboxrect="0,0,0,0"/>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2.台面采用1.5mm厚不锈钢板制作；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3.星盆斗采用1.2mm厚不锈钢板制作；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4.立柱采用38*38mm方通，配可调式子弹脚；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5.横撑采用25*38mm方通；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6.不锈钢下水器。</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单通打荷台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163195</wp:posOffset>
                      </wp:positionV>
                      <wp:extent cx="695325" cy="628015"/>
                      <wp:effectExtent l="0" t="0" r="5715" b="12065"/>
                      <wp:wrapNone/>
                      <wp:docPr id="66" name="图片_26_SpCnt_4"/>
                      <wp:cNvGraphicFramePr/>
                      <a:graphic xmlns:a="http://schemas.openxmlformats.org/drawingml/2006/main">
                        <a:graphicData uri="http://schemas.openxmlformats.org/drawingml/2006/picture">
                          <pic:pic xmlns:pic="http://schemas.openxmlformats.org/drawingml/2006/picture">
                            <pic:nvPicPr>
                              <pic:cNvPr id="55" name="图片_26_SpCnt_4"/>
                              <pic:cNvPicPr/>
                              <pic:nvPr/>
                            </pic:nvPicPr>
                            <pic:blipFill>
                              <a:blip r:embed="rId59"/>
                              <a:stretch/>
                            </pic:blipFill>
                            <pic:spPr bwMode="auto">
                              <a:xfrm>
                                <a:off x="0" y="0"/>
                                <a:ext cx="69532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9.8pt;mso-position-horizontal:absolute;mso-position-vertical-relative:text;margin-top:12.8pt;mso-position-vertical:absolute;width:54.8pt;height:49.4pt;mso-wrap-distance-left:9.0pt;mso-wrap-distance-top:0.0pt;mso-wrap-distance-right:9.0pt;mso-wrap-distance-bottom:0.0pt;" stroked="f">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1.本产品采用SUS304优质不锈钢砂板制作；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2.开门方式为左右移门；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3.面板1.5mm厚、底板、层板做1.2mm厚；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4.无地台脚配可调节不锈钢脚；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5.拼装焊接要正、要牢固平整、打磨、抛光、拉丝要精细，不能有凹凸不平和黑色抛光蜡现象出现。</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86360</wp:posOffset>
                      </wp:positionV>
                      <wp:extent cx="542925" cy="601345"/>
                      <wp:effectExtent l="0" t="0" r="5715" b="8255"/>
                      <wp:wrapNone/>
                      <wp:docPr id="67" name="图片_80"/>
                      <wp:cNvGraphicFramePr/>
                      <a:graphic xmlns:a="http://schemas.openxmlformats.org/drawingml/2006/main">
                        <a:graphicData uri="http://schemas.openxmlformats.org/drawingml/2006/picture">
                          <pic:pic xmlns:pic="http://schemas.openxmlformats.org/drawingml/2006/picture">
                            <pic:nvPicPr>
                              <pic:cNvPr id="59" name="图片_80"/>
                              <pic:cNvPicPr/>
                              <pic:nvPr/>
                            </pic:nvPicPr>
                            <pic:blipFill>
                              <a:blip r:embed="rId67"/>
                              <a:stretch/>
                            </pic:blipFill>
                            <pic:spPr bwMode="auto">
                              <a:xfrm>
                                <a:off x="0" y="0"/>
                                <a:ext cx="542925"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14.3pt;mso-position-horizontal:absolute;mso-position-vertical-relative:text;margin-top:6.8pt;mso-position-vertical:absolute;width:42.8pt;height:47.3pt;mso-wrap-distance-left:9.0pt;mso-wrap-distance-top:0.0pt;mso-wrap-distance-right:9.0pt;mso-wrap-distance-bottom:0.0pt;" stroked="f">
                      <v:path textboxrect="0,0,0,0"/>
                      <v:imagedata r:id="rId6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US304不锈钢，主材1.0，双锁恒温，双重玻璃门，风冷，容量：350L 能效：一级能效。 电压/频率，整机功率：220V/50HZ，560w。</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保温售菜柜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38100</wp:posOffset>
                      </wp:positionV>
                      <wp:extent cx="781685" cy="618490"/>
                      <wp:effectExtent l="0" t="0" r="10795" b="6350"/>
                      <wp:wrapNone/>
                      <wp:docPr id="68" name="图片_89"/>
                      <wp:cNvGraphicFramePr/>
                      <a:graphic xmlns:a="http://schemas.openxmlformats.org/drawingml/2006/main">
                        <a:graphicData uri="http://schemas.openxmlformats.org/drawingml/2006/picture">
                          <pic:pic xmlns:pic="http://schemas.openxmlformats.org/drawingml/2006/picture">
                            <pic:nvPicPr>
                              <pic:cNvPr id="60" name="图片_89"/>
                              <pic:cNvPicPr/>
                              <pic:nvPr/>
                            </pic:nvPicPr>
                            <pic:blipFill>
                              <a:blip r:embed="rId68"/>
                              <a:stretch/>
                            </pic:blipFill>
                            <pic:spPr bwMode="auto">
                              <a:xfrm>
                                <a:off x="0" y="0"/>
                                <a:ext cx="78168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5.2pt;mso-position-horizontal:absolute;mso-position-vertical-relative:text;margin-top:3.0pt;mso-position-vertical:absolute;width:61.5pt;height:48.7pt;mso-wrap-distance-left:9.0pt;mso-wrap-distance-top:0.0pt;mso-wrap-distance-right:9.0pt;mso-wrap-distance-bottom:0.0pt;" stroked="f">
                      <v:path textboxrect="0,0,0,0"/>
                      <v:imagedata r:id="rId6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材料采用SUS304不锈钢板制作，珐纹处理，氩焊处满焊，抛光打磨。台面、内胆厚度1.5mm，底板、门板、侧板厚度1.2mm；220V/3KW；配525*325*150份数盘，全自动温控系统。</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异性双层工作台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95250</wp:posOffset>
                      </wp:positionV>
                      <wp:extent cx="723900" cy="534670"/>
                      <wp:effectExtent l="0" t="0" r="7620" b="13970"/>
                      <wp:wrapNone/>
                      <wp:docPr id="69" name="图片_13_SpCnt_3"/>
                      <wp:cNvGraphicFramePr/>
                      <a:graphic xmlns:a="http://schemas.openxmlformats.org/drawingml/2006/main">
                        <a:graphicData uri="http://schemas.openxmlformats.org/drawingml/2006/picture">
                          <pic:pic xmlns:pic="http://schemas.openxmlformats.org/drawingml/2006/picture">
                            <pic:nvPicPr>
                              <pic:cNvPr id="43" name="图片_13_SpCnt_3"/>
                              <pic:cNvPicPr/>
                              <pic:nvPr/>
                            </pic:nvPicPr>
                            <pic:blipFill>
                              <a:blip r:embed="rId61"/>
                              <a:stretch/>
                            </pic:blipFill>
                            <pic:spPr bwMode="auto">
                              <a:xfrm>
                                <a:off x="0" y="0"/>
                                <a:ext cx="723900"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9.0pt;mso-position-horizontal:absolute;mso-position-vertical-relative:text;margin-top:7.5pt;mso-position-vertical:absolute;width:57.0pt;height:42.1pt;mso-wrap-distance-left:9.0pt;mso-wrap-distance-top:0.0pt;mso-wrap-distance-right:9.0pt;mso-wrap-distance-bottom:0.0pt;" stroked="f">
                      <v:path textboxrect="0,0,0,0"/>
                      <v:imagedata r:id="rId6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材料采用SUS304不锈钢板制作，珐纹处理，氩焊处满焊，抛光打磨。台面厚度δ=1.5mm，下层板厚度δ=1.2mm，腿采用φ38*1.2mm圆管制作,采用不锈钢子弹脚。</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取筷机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容量≥100双，支持常规圆柱形、方形密胺筷/竹筷/木筷，整机内胆采取食品级304不锈钢，防腐蚀易清洁材质；支持定量出筷，尺寸≤420mm。</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其他</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消毒灯</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920*130*80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93980</wp:posOffset>
                      </wp:positionV>
                      <wp:extent cx="781050" cy="523875"/>
                      <wp:effectExtent l="0" t="0" r="11430" b="9525"/>
                      <wp:wrapNone/>
                      <wp:docPr id="70" name="图片_74_SpCnt_1"/>
                      <wp:cNvGraphicFramePr/>
                      <a:graphic xmlns:a="http://schemas.openxmlformats.org/drawingml/2006/main">
                        <a:graphicData uri="http://schemas.openxmlformats.org/drawingml/2006/picture">
                          <pic:pic xmlns:pic="http://schemas.openxmlformats.org/drawingml/2006/picture">
                            <pic:nvPicPr>
                              <pic:cNvPr id="45" name="图片_74_SpCnt_1"/>
                              <pic:cNvPicPr/>
                              <pic:nvPr/>
                            </pic:nvPicPr>
                            <pic:blipFill>
                              <a:blip r:embed="rId69"/>
                              <a:stretch/>
                            </pic:blipFill>
                            <pic:spPr bwMode="auto">
                              <a:xfrm>
                                <a:off x="0" y="0"/>
                                <a:ext cx="7810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7.5pt;mso-position-horizontal:absolute;mso-position-vertical-relative:text;margin-top:7.4pt;mso-position-vertical:absolute;width:61.5pt;height:41.2pt;mso-wrap-distance-left:9.0pt;mso-wrap-distance-top:0.0pt;mso-wrap-distance-right:9.0pt;mso-wrap-distance-bottom:0.0pt;" stroked="f">
                      <v:path textboxrect="0,0,0,0"/>
                      <v:imagedata r:id="rId6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1.灯架主体铝合金烤漆、不锈钢悬挂卡扣及挂条；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2.采用石英玻璃灯管40W；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3.使用面积：大于51㎡；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4.紫外线杀菌13；                                          5.电压/频率，整机功率：220V/50HZ，18w。</w:t>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0.02KW</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132715</wp:posOffset>
                      </wp:positionV>
                      <wp:extent cx="790575" cy="551815"/>
                      <wp:effectExtent l="0" t="0" r="1905" b="12065"/>
                      <wp:wrapNone/>
                      <wp:docPr id="71" name="图片_95"/>
                      <wp:cNvGraphicFramePr/>
                      <a:graphic xmlns:a="http://schemas.openxmlformats.org/drawingml/2006/main">
                        <a:graphicData uri="http://schemas.openxmlformats.org/drawingml/2006/picture">
                          <pic:pic xmlns:pic="http://schemas.openxmlformats.org/drawingml/2006/picture">
                            <pic:nvPicPr>
                              <pic:cNvPr id="46" name="图片_95"/>
                              <pic:cNvPicPr/>
                              <pic:nvPr/>
                            </pic:nvPicPr>
                            <pic:blipFill>
                              <a:blip r:embed="rId70"/>
                              <a:stretch/>
                            </pic:blipFill>
                            <pic:spPr bwMode="auto">
                              <a:xfrm>
                                <a:off x="0" y="0"/>
                                <a:ext cx="790575"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5.9pt;mso-position-horizontal:absolute;mso-position-vertical-relative:text;margin-top:10.4pt;mso-position-vertical:absolute;width:62.2pt;height:43.4pt;mso-wrap-distance-left:9.0pt;mso-wrap-distance-top:0.0pt;mso-wrap-distance-right:9.0pt;mso-wrap-distance-bottom:0.0pt;" stroked="f">
                      <v:path textboxrect="0,0,0,0"/>
                      <v:imagedata r:id="rId7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1.外壳耐高温环保PS材料；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2.采用诱虫防爆灯管；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3.使用面积：大于50㎡；                                             4.电压/频率，整机功率：220V/50HZ，18w。</w:t>
            </w:r>
            <w:r/>
          </w:p>
        </w:tc>
      </w:tr>
      <w:tr>
        <w:trPr>
          <w:trHeight w:val="103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残菜柜</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95250</wp:posOffset>
                      </wp:positionV>
                      <wp:extent cx="524510" cy="456565"/>
                      <wp:effectExtent l="0" t="0" r="8890" b="635"/>
                      <wp:wrapNone/>
                      <wp:docPr id="72" name="图片_45"/>
                      <wp:cNvGraphicFramePr/>
                      <a:graphic xmlns:a="http://schemas.openxmlformats.org/drawingml/2006/main">
                        <a:graphicData uri="http://schemas.openxmlformats.org/drawingml/2006/picture">
                          <pic:pic xmlns:pic="http://schemas.openxmlformats.org/drawingml/2006/picture">
                            <pic:nvPicPr>
                              <pic:cNvPr id="61" name="图片_45"/>
                              <pic:cNvPicPr/>
                              <pic:nvPr/>
                            </pic:nvPicPr>
                            <pic:blipFill>
                              <a:blip r:embed="rId71"/>
                              <a:stretch/>
                            </pic:blipFill>
                            <pic:spPr bwMode="auto">
                              <a:xfrm>
                                <a:off x="0" y="0"/>
                                <a:ext cx="524510"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17.2pt;mso-position-horizontal:absolute;mso-position-vertical-relative:text;margin-top:7.5pt;mso-position-vertical:absolute;width:41.3pt;height:35.9pt;mso-wrap-distance-left:9.0pt;mso-wrap-distance-top:0.0pt;mso-wrap-distance-right:9.0pt;mso-wrap-distance-bottom:0.0pt;" stroked="f">
                      <v:path textboxrect="0,0,0,0"/>
                      <v:imagedata r:id="rId7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材料采用SUS304不锈钢板制作，珐纹处理，氩焊处满焊，抛光打磨。层板厚度δ=1.5mm，把手采用φ32*1.2mm不锈钢圆管，六寸加重脚轮，两定两转。</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排风系统</w:t>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油烟辅管道</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按实计算</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125095</wp:posOffset>
                      </wp:positionV>
                      <wp:extent cx="647700" cy="542925"/>
                      <wp:effectExtent l="0" t="0" r="7620" b="5715"/>
                      <wp:wrapNone/>
                      <wp:docPr id="73" name="图片_84"/>
                      <wp:cNvGraphicFramePr/>
                      <a:graphic xmlns:a="http://schemas.openxmlformats.org/drawingml/2006/main">
                        <a:graphicData uri="http://schemas.openxmlformats.org/drawingml/2006/picture">
                          <pic:pic xmlns:pic="http://schemas.openxmlformats.org/drawingml/2006/picture">
                            <pic:nvPicPr>
                              <pic:cNvPr id="62" name="图片_84"/>
                              <pic:cNvPicPr/>
                              <pic:nvPr/>
                            </pic:nvPicPr>
                            <pic:blipFill>
                              <a:blip r:embed="rId72"/>
                              <a:stretch/>
                            </pic:blipFill>
                            <pic:spPr bwMode="auto">
                              <a:xfrm>
                                <a:off x="0" y="0"/>
                                <a:ext cx="64770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12.0pt;mso-position-horizontal:absolute;mso-position-vertical-relative:text;margin-top:9.8pt;mso-position-vertical:absolute;width:51.0pt;height:42.8pt;mso-wrap-distance-left:9.0pt;mso-wrap-distance-top:0.0pt;mso-wrap-distance-right:9.0pt;mso-wrap-distance-bottom:0.0pt;" stroked="f">
                      <v:path textboxrect="0,0,0,0"/>
                      <v:imagedata r:id="rId7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采用SUS304不锈钢板材1.2mm，功板法兰另加加强筋。</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弯头管道</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114300</wp:posOffset>
                      </wp:positionV>
                      <wp:extent cx="581025" cy="554355"/>
                      <wp:effectExtent l="0" t="0" r="13335" b="9525"/>
                      <wp:wrapNone/>
                      <wp:docPr id="74" name="图片_85"/>
                      <wp:cNvGraphicFramePr/>
                      <a:graphic xmlns:a="http://schemas.openxmlformats.org/drawingml/2006/main">
                        <a:graphicData uri="http://schemas.openxmlformats.org/drawingml/2006/picture">
                          <pic:pic xmlns:pic="http://schemas.openxmlformats.org/drawingml/2006/picture">
                            <pic:nvPicPr>
                              <pic:cNvPr id="89" name="图片_85"/>
                              <pic:cNvPicPr/>
                              <pic:nvPr/>
                            </pic:nvPicPr>
                            <pic:blipFill>
                              <a:blip r:embed="rId73"/>
                              <a:stretch/>
                            </pic:blipFill>
                            <pic:spPr bwMode="auto">
                              <a:xfrm>
                                <a:off x="0" y="0"/>
                                <a:ext cx="581025" cy="55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1.2pt;mso-position-horizontal:absolute;mso-position-vertical-relative:text;margin-top:9.0pt;mso-position-vertical:absolute;width:45.8pt;height:43.6pt;mso-wrap-distance-left:9.0pt;mso-wrap-distance-top:0.0pt;mso-wrap-distance-right:9.0pt;mso-wrap-distance-bottom:0.0pt;" stroked="f">
                      <v:path textboxrect="0,0,0,0"/>
                      <v:imagedata r:id="rId7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采用SUS304不锈钢板材1.2mm，功板法兰另加加强筋。</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弯头管道</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37465</wp:posOffset>
                      </wp:positionV>
                      <wp:extent cx="638175" cy="589280"/>
                      <wp:effectExtent l="0" t="0" r="1905" b="5080"/>
                      <wp:wrapNone/>
                      <wp:docPr id="75" name="图片_86"/>
                      <wp:cNvGraphicFramePr/>
                      <a:graphic xmlns:a="http://schemas.openxmlformats.org/drawingml/2006/main">
                        <a:graphicData uri="http://schemas.openxmlformats.org/drawingml/2006/picture">
                          <pic:pic xmlns:pic="http://schemas.openxmlformats.org/drawingml/2006/picture">
                            <pic:nvPicPr>
                              <pic:cNvPr id="92" name="图片_86"/>
                              <pic:cNvPicPr/>
                              <pic:nvPr/>
                            </pic:nvPicPr>
                            <pic:blipFill>
                              <a:blip r:embed="rId74"/>
                              <a:stretch/>
                            </pic:blipFill>
                            <pic:spPr bwMode="auto">
                              <a:xfrm>
                                <a:off x="0" y="0"/>
                                <a:ext cx="63817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5.2pt;mso-position-horizontal:absolute;mso-position-vertical-relative:text;margin-top:2.9pt;mso-position-vertical:absolute;width:50.2pt;height:46.4pt;mso-wrap-distance-left:9.0pt;mso-wrap-distance-top:0.0pt;mso-wrap-distance-right:9.0pt;mso-wrap-distance-bottom:0.0pt;" stroked="f">
                      <v:path textboxrect="0,0,0,0"/>
                      <v:imagedata r:id="rId7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采用SUS304不锈钢板材1.2mm，功板法兰另加加强筋。</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122555</wp:posOffset>
                      </wp:positionV>
                      <wp:extent cx="666750" cy="629285"/>
                      <wp:effectExtent l="0" t="0" r="3810" b="10795"/>
                      <wp:wrapNone/>
                      <wp:docPr id="76" name="图片_128"/>
                      <wp:cNvGraphicFramePr/>
                      <a:graphic xmlns:a="http://schemas.openxmlformats.org/drawingml/2006/main">
                        <a:graphicData uri="http://schemas.openxmlformats.org/drawingml/2006/picture">
                          <pic:pic xmlns:pic="http://schemas.openxmlformats.org/drawingml/2006/picture">
                            <pic:nvPicPr>
                              <pic:cNvPr id="87" name="图片_128"/>
                              <pic:cNvPicPr/>
                              <pic:nvPr/>
                            </pic:nvPicPr>
                            <pic:blipFill>
                              <a:blip r:embed="rId75"/>
                              <a:stretch/>
                            </pic:blipFill>
                            <pic:spPr bwMode="auto">
                              <a:xfrm>
                                <a:off x="0" y="0"/>
                                <a:ext cx="66675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8.2pt;mso-position-horizontal:absolute;mso-position-vertical-relative:text;margin-top:9.7pt;mso-position-vertical:absolute;width:52.5pt;height:49.5pt;mso-wrap-distance-left:9.0pt;mso-wrap-distance-top:0.0pt;mso-wrap-distance-right:9.0pt;mso-wrap-distance-bottom:0.0pt;" stroked="f">
                      <v:path textboxrect="0,0,0,0"/>
                      <v:imagedata r:id="rId7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用：排烟阀一般安装在排烟系统的风管上，平时常闭，发生火灾时烟感探头发出火警信号，控制中心给阀上电磁铁接通电信号使阀门迅速打开，也可人手动迅速打开阀门进行排烟。性能：手动可使阀门打开，手动复位。阀门动作后输出开启信号。根据用户要求可以与其它设备联锁。</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防震垫</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142875</wp:posOffset>
                      </wp:positionV>
                      <wp:extent cx="581025" cy="532765"/>
                      <wp:effectExtent l="0" t="0" r="13335" b="635"/>
                      <wp:wrapNone/>
                      <wp:docPr id="77" name="ID_2CCDFB3256BD41528DEBF51DC189EC43"/>
                      <wp:cNvGraphicFramePr/>
                      <a:graphic xmlns:a="http://schemas.openxmlformats.org/drawingml/2006/main">
                        <a:graphicData uri="http://schemas.openxmlformats.org/drawingml/2006/picture">
                          <pic:pic xmlns:pic="http://schemas.openxmlformats.org/drawingml/2006/picture">
                            <pic:nvPicPr>
                              <pic:cNvPr id="88" name="ID_2CCDFB3256BD41528DEBF51DC189EC43"/>
                              <pic:cNvPicPr/>
                              <pic:nvPr/>
                            </pic:nvPicPr>
                            <pic:blipFill>
                              <a:blip r:embed="rId76"/>
                              <a:stretch/>
                            </pic:blipFill>
                            <pic:spPr bwMode="auto">
                              <a:xfrm>
                                <a:off x="0" y="0"/>
                                <a:ext cx="58102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12.0pt;mso-position-horizontal:absolute;mso-position-vertical-relative:text;margin-top:11.2pt;mso-position-vertical:absolute;width:45.8pt;height:41.9pt;mso-wrap-distance-left:9.0pt;mso-wrap-distance-top:0.0pt;mso-wrap-distance-right:9.0pt;mso-wrap-distance-bottom:0.0pt;" stroked="f">
                      <v:path textboxrect="0,0,0,0"/>
                      <v:imagedata r:id="rId7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1.ZT型阻尼弹簧减震器，选择面广、荷载范围大、固有频率低阻大的双重优点。适应性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强，对积极减震，冲击减震，效果显著，本减震器减震性好，结构合理，安装方便，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2.对固体声的减震效果显著。是一种多功能的减震元件能满足各类减震的需要。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3.型号：100kg</w:t>
            </w:r>
            <w:r/>
          </w:p>
        </w:tc>
      </w:tr>
      <w:tr>
        <w:trPr>
          <w:trHeight w:val="52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低噪音高压箱式风柜（二次增压）</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380V/7.5KW</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151130</wp:posOffset>
                      </wp:positionV>
                      <wp:extent cx="619125" cy="607695"/>
                      <wp:effectExtent l="0" t="0" r="5715" b="1905"/>
                      <wp:wrapNone/>
                      <wp:docPr id="78" name="ID_5A282420284240708B46E7868CD333C2"/>
                      <wp:cNvGraphicFramePr/>
                      <a:graphic xmlns:a="http://schemas.openxmlformats.org/drawingml/2006/main">
                        <a:graphicData uri="http://schemas.openxmlformats.org/drawingml/2006/picture">
                          <pic:pic xmlns:pic="http://schemas.openxmlformats.org/drawingml/2006/picture">
                            <pic:nvPicPr>
                              <pic:cNvPr id="91" name="ID_5A282420284240708B46E7868CD333C2"/>
                              <pic:cNvPicPr/>
                              <pic:nvPr/>
                            </pic:nvPicPr>
                            <pic:blipFill>
                              <a:blip r:embed="rId77"/>
                              <a:stretch/>
                            </pic:blipFill>
                            <pic:spPr bwMode="auto">
                              <a:xfrm>
                                <a:off x="0" y="0"/>
                                <a:ext cx="619125" cy="607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12.7pt;mso-position-horizontal:absolute;mso-position-vertical-relative:text;margin-top:11.9pt;mso-position-vertical:absolute;width:48.8pt;height:47.8pt;mso-wrap-distance-left:9.0pt;mso-wrap-distance-top:0.0pt;mso-wrap-distance-right:9.0pt;mso-wrap-distance-bottom:0.0pt;" stroked="f">
                      <v:path textboxrect="0,0,0,0"/>
                      <v:imagedata r:id="rId7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1.其柜体采用框架结构，柜机面板采用优质钢板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2.该风机采用后倾机翼式叶片风轮，叶轮锥和集风器的精良配合，能有效的减少风量和风压的损失，提高效率。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3.用途：通风换气、抽油烟、消防排烟。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4.A型电机外置风机具有消防功能。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5.噪声：≤74db</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低噪音高压箱式风柜（二次增压）</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104140</wp:posOffset>
                      </wp:positionV>
                      <wp:extent cx="619125" cy="610235"/>
                      <wp:effectExtent l="0" t="0" r="5715" b="14604"/>
                      <wp:wrapNone/>
                      <wp:docPr id="79" name="ID_5A282420284240708B46E7868CD333C2_SpCnt_1"/>
                      <wp:cNvGraphicFramePr/>
                      <a:graphic xmlns:a="http://schemas.openxmlformats.org/drawingml/2006/main">
                        <a:graphicData uri="http://schemas.openxmlformats.org/drawingml/2006/picture">
                          <pic:pic xmlns:pic="http://schemas.openxmlformats.org/drawingml/2006/picture">
                            <pic:nvPicPr>
                              <pic:cNvPr id="90" name="ID_5A282420284240708B46E7868CD333C2_SpCnt_1"/>
                              <pic:cNvPicPr/>
                              <pic:nvPr/>
                            </pic:nvPicPr>
                            <pic:blipFill>
                              <a:blip r:embed="rId78"/>
                              <a:stretch/>
                            </pic:blipFill>
                            <pic:spPr bwMode="auto">
                              <a:xfrm>
                                <a:off x="0" y="0"/>
                                <a:ext cx="61912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15.0pt;mso-position-horizontal:absolute;mso-position-vertical-relative:text;margin-top:8.2pt;mso-position-vertical:absolute;width:48.8pt;height:48.0pt;mso-wrap-distance-left:9.0pt;mso-wrap-distance-top:0.0pt;mso-wrap-distance-right:9.0pt;mso-wrap-distance-bottom:0.0pt;" stroked="f">
                      <v:path textboxrect="0,0,0,0"/>
                      <v:imagedata r:id="rId7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1.其柜体采用框架结构，柜机面板采用优质钢板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2.该风机采用后倾机翼式叶片风轮，叶轮锥和集风器的精良配合，能有效的减少风量和风压的损失，提高效率。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3.用途：通风换气、抽油烟、消防排烟。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4.A型电机外置风机具有消防功能。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5.噪声：≤74db</w:t>
            </w:r>
            <w:r/>
          </w:p>
        </w:tc>
      </w:tr>
      <w:tr>
        <w:trPr>
          <w:trHeight w:val="1140"/>
        </w:trPr>
        <w:tc>
          <w:tcPr>
            <w:shd w:val="clear" w:color="auto" w:fill="ffffff"/>
            <w:tcBorders>
              <w:top w:val="single" w:color="000000" w:sz="4" w:space="0"/>
              <w:left w:val="single" w:color="000000"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auto"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风柜启动变频器</w:t>
            </w:r>
            <w:r/>
          </w:p>
        </w:tc>
        <w:tc>
          <w:tcPr>
            <w:shd w:val="clear" w:color="auto" w:fill="ffffff"/>
            <w:tcBorders>
              <w:top w:val="single" w:color="000000" w:sz="4" w:space="0"/>
              <w:left w:val="single" w:color="000000" w:sz="4" w:space="0"/>
              <w:bottom w:val="single" w:color="auto"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380V/7.5KW</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113030</wp:posOffset>
                      </wp:positionV>
                      <wp:extent cx="523875" cy="591185"/>
                      <wp:effectExtent l="0" t="0" r="9525" b="3175"/>
                      <wp:wrapNone/>
                      <wp:docPr id="80" name="图片_132"/>
                      <wp:cNvGraphicFramePr/>
                      <a:graphic xmlns:a="http://schemas.openxmlformats.org/drawingml/2006/main">
                        <a:graphicData uri="http://schemas.openxmlformats.org/drawingml/2006/picture">
                          <pic:pic xmlns:pic="http://schemas.openxmlformats.org/drawingml/2006/picture">
                            <pic:nvPicPr>
                              <pic:cNvPr id="93" name="图片_132"/>
                              <pic:cNvPicPr/>
                              <pic:nvPr/>
                            </pic:nvPicPr>
                            <pic:blipFill>
                              <a:blip r:embed="rId79"/>
                              <a:stretch/>
                            </pic:blipFill>
                            <pic:spPr bwMode="auto">
                              <a:xfrm>
                                <a:off x="0" y="0"/>
                                <a:ext cx="523875" cy="591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16.5pt;mso-position-horizontal:absolute;mso-position-vertical-relative:text;margin-top:8.9pt;mso-position-vertical:absolute;width:41.2pt;height:46.5pt;mso-wrap-distance-left:9.0pt;mso-wrap-distance-top:0.0pt;mso-wrap-distance-right:9.0pt;mso-wrap-distance-bottom:0.0pt;" stroked="f">
                      <v:path textboxrect="0,0,0,0"/>
                      <v:imagedata r:id="rId79" o:title=""/>
                    </v:shape>
                  </w:pict>
                </mc:Fallback>
              </mc:AlternateContent>
            </w:r>
            <w:r/>
          </w:p>
        </w:tc>
        <w:tc>
          <w:tcPr>
            <w:shd w:val="clear" w:color="auto" w:fill="ffffff"/>
            <w:tcBorders>
              <w:top w:val="single" w:color="000000" w:sz="4" w:space="0"/>
              <w:left w:val="single" w:color="000000" w:sz="4" w:space="0"/>
              <w:bottom w:val="single" w:color="auto"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配7.5KW；箱体：须采用烤漆板制作；功率7.5KW,能够避免电动机起动时过大的起动电流对供电线路影响，并且对风机电动机起到短路、缺相、过载、失压等保护作用。</w:t>
            </w:r>
            <w:r/>
          </w:p>
        </w:tc>
      </w:tr>
      <w:tr>
        <w:trPr>
          <w:trHeight w:val="1200"/>
        </w:trPr>
        <w:tc>
          <w:tcPr>
            <w:shd w:val="clear" w:color="auto" w:fill="ffffff"/>
            <w:tcBorders>
              <w:top w:val="single" w:color="auto" w:sz="4" w:space="0"/>
              <w:left w:val="single" w:color="auto"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auto" w:sz="4" w:space="0"/>
              <w:left w:val="single" w:color="000000" w:sz="4" w:space="0"/>
              <w:bottom w:val="single" w:color="auto"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风柜启动变频器</w:t>
            </w:r>
            <w:r/>
          </w:p>
        </w:tc>
        <w:tc>
          <w:tcPr>
            <w:shd w:val="clear" w:color="auto" w:fill="ffffff"/>
            <w:tcBorders>
              <w:top w:val="single" w:color="auto" w:sz="4" w:space="0"/>
              <w:left w:val="single" w:color="000000" w:sz="4" w:space="0"/>
              <w:bottom w:val="single" w:color="auto"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shd w:val="clear" w:color="auto" w:fill="ffffff"/>
            <w:tcBorders>
              <w:top w:val="single" w:color="auto"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auto" w:sz="4" w:space="0"/>
              <w:left w:val="single" w:color="000000" w:sz="4" w:space="0"/>
              <w:bottom w:val="single" w:color="auto"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104140</wp:posOffset>
                      </wp:positionV>
                      <wp:extent cx="523875" cy="589280"/>
                      <wp:effectExtent l="0" t="0" r="9525" b="5080"/>
                      <wp:wrapNone/>
                      <wp:docPr id="81" name="图片_132_SpCnt_1"/>
                      <wp:cNvGraphicFramePr/>
                      <a:graphic xmlns:a="http://schemas.openxmlformats.org/drawingml/2006/main">
                        <a:graphicData uri="http://schemas.openxmlformats.org/drawingml/2006/picture">
                          <pic:pic xmlns:pic="http://schemas.openxmlformats.org/drawingml/2006/picture">
                            <pic:nvPicPr>
                              <pic:cNvPr id="86" name="图片_132_SpCnt_1"/>
                              <pic:cNvPicPr/>
                              <pic:nvPr/>
                            </pic:nvPicPr>
                            <pic:blipFill>
                              <a:blip r:embed="rId80"/>
                              <a:stretch/>
                            </pic:blipFill>
                            <pic:spPr bwMode="auto">
                              <a:xfrm>
                                <a:off x="0" y="0"/>
                                <a:ext cx="52387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16.5pt;mso-position-horizontal:absolute;mso-position-vertical-relative:text;margin-top:8.2pt;mso-position-vertical:absolute;width:41.2pt;height:46.4pt;mso-wrap-distance-left:9.0pt;mso-wrap-distance-top:0.0pt;mso-wrap-distance-right:9.0pt;mso-wrap-distance-bottom:0.0pt;" stroked="f">
                      <v:path textboxrect="0,0,0,0"/>
                      <v:imagedata r:id="rId80" o:title=""/>
                    </v:shape>
                  </w:pict>
                </mc:Fallback>
              </mc:AlternateContent>
            </w:r>
            <w:r/>
          </w:p>
        </w:tc>
        <w:tc>
          <w:tcPr>
            <w:shd w:val="clear" w:color="auto" w:fill="ffffff"/>
            <w:tcBorders>
              <w:top w:val="single" w:color="auto" w:sz="4" w:space="0"/>
              <w:left w:val="single" w:color="000000" w:sz="4" w:space="0"/>
              <w:bottom w:val="single" w:color="auto"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配15KW；箱体：须采用烤漆板制作；功率11KW,能够避免电动机起动时过大的起动电流对供电线路影响，并且对风机电动机起到短路、缺相、过载、失压等保护作用。</w:t>
            </w:r>
            <w:r/>
          </w:p>
        </w:tc>
      </w:tr>
      <w:tr>
        <w:trPr>
          <w:trHeight w:val="720"/>
        </w:trPr>
        <w:tc>
          <w:tcPr>
            <w:shd w:val="clear" w:color="auto" w:fill="ffffff"/>
            <w:tcBorders>
              <w:top w:val="single" w:color="auto" w:sz="4" w:space="0"/>
              <w:left w:val="single" w:color="000000"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auto" w:sz="4" w:space="0"/>
              <w:left w:val="single" w:color="000000" w:sz="4" w:space="0"/>
              <w:bottom w:val="single" w:color="auto"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安装辅材费</w:t>
            </w:r>
            <w:r/>
          </w:p>
        </w:tc>
        <w:tc>
          <w:tcPr>
            <w:shd w:val="clear" w:color="auto" w:fill="ffffff"/>
            <w:tcBorders>
              <w:top w:val="single" w:color="auto" w:sz="4" w:space="0"/>
              <w:left w:val="single" w:color="000000" w:sz="4" w:space="0"/>
              <w:bottom w:val="single" w:color="auto"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ffffff"/>
            <w:tcBorders>
              <w:top w:val="single" w:color="auto"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auto"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152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auto" w:sz="4" w:space="0"/>
              <w:left w:val="single" w:color="000000" w:sz="4" w:space="0"/>
              <w:bottom w:val="single" w:color="auto" w:sz="4" w:space="0"/>
              <w:right w:val="single" w:color="000000"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配套辅材</w:t>
            </w:r>
            <w:r/>
          </w:p>
        </w:tc>
      </w:tr>
      <w:tr>
        <w:trPr>
          <w:trHeight w:val="600"/>
        </w:trPr>
        <w:tc>
          <w:tcPr>
            <w:gridSpan w:val="7"/>
            <w:shd w:val="clear" w:color="auto" w:fill="ffffff"/>
            <w:tcBorders>
              <w:top w:val="single" w:color="auto" w:sz="4" w:space="0"/>
              <w:left w:val="single" w:color="auto" w:sz="4" w:space="0"/>
              <w:bottom w:val="single" w:color="000000" w:sz="4" w:space="0"/>
              <w:right w:val="single" w:color="auto" w:sz="4" w:space="0"/>
            </w:tcBorders>
            <w:tcW w:w="997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厨房杂件及餐具</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不锈钢餐盘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六格304/1.0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打菜集体吃不锈钢盆</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250-300mm（适配汤碗、汤锅常规尺寸），长度公差≤±2mm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φ50*50cm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φ60*60cm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两</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两</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两</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平口料铲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不锈钢长柄勺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 45cm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双耳不锈钢油隔</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不锈钢单柄漏勺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竹柄钢炸厘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竹柄密厘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计时器</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ascii="Arial" w:hAnsi="Arial" w:eastAsia="Arial" w:cs="Arial"/>
                <w:i w:val="0"/>
                <w:iCs w:val="0"/>
                <w:caps w:val="0"/>
                <w:color w:val="333333"/>
                <w:spacing w:val="0"/>
                <w:sz w:val="19"/>
                <w:szCs w:val="19"/>
                <w:highlight w:val="none"/>
                <w:shd w:val="clear" w:color="auto" w:fill="ffffff"/>
              </w:rPr>
              <w:t xml:space="preserve">精度</w:t>
            </w:r>
            <w:r>
              <w:rPr>
                <w:rFonts w:hint="eastAsia" w:ascii="Arial" w:hAnsi="Arial" w:eastAsia="宋体" w:cs="Arial"/>
                <w:i w:val="0"/>
                <w:iCs w:val="0"/>
                <w:caps w:val="0"/>
                <w:color w:val="333333"/>
                <w:spacing w:val="0"/>
                <w:sz w:val="19"/>
                <w:szCs w:val="19"/>
                <w:highlight w:val="none"/>
                <w:shd w:val="clear" w:color="auto" w:fill="ffffff"/>
                <w:lang w:eastAsia="zh-CN"/>
              </w:rPr>
              <w:t xml:space="preserve">：</w:t>
            </w:r>
            <w:r>
              <w:rPr>
                <w:rFonts w:hint="default" w:ascii="宋体" w:hAnsi="宋体" w:eastAsia="宋体" w:cs="宋体"/>
                <w:i w:val="0"/>
                <w:iCs w:val="0"/>
                <w:color w:val="000000"/>
                <w:sz w:val="20"/>
                <w:szCs w:val="20"/>
                <w:highlight w:val="none"/>
                <w:u w:val="none"/>
                <w:lang w:val="en-US" w:eastAsia="zh-CN" w:bidi="ar"/>
              </w:rPr>
              <w:t xml:space="preserve">毫秒级计时，误差≤±0.01 秒 / 分钟；秒级计时模式下误差≤±1 秒 / 小时</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cm白</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主体材质：采用食品级 HDPE（高密度聚乙烯）或 PP（聚丙烯），符合 GB 4806.7-2016《食品安全国家标准食品接触用塑料材料及制品》。</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cm红</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主体材质：采用食品级 HDPE（高密度聚乙烯）或 PP（聚丙烯），符合 GB 4806.7-2016《食品安全国家标准食品接触用塑料材料及制品》。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cm蓝</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主体材质：采用食品级 HDPE（高密度聚乙烯）或 PP（聚丙烯），符合 GB 4806.7-2016《食品安全国家标准食品接触用塑料材料及制品》。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cm绿</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主体材质：采用食品级 HDPE（高密度聚乙烯）或 PP（聚丙烯），符合 GB 4806.7-2016《食品安全国家标准食品接触用塑料材料及制品》。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cm黄</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主体材质：采用食品级 HDPE（高密度聚乙烯）或 PP（聚丙烯），符合 GB 4806.7-2016《食品安全国家标准食品接触用塑料材料及制品》。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钢砧板围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80*44cm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不锈钢味盅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不锈钢味盅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cm厚1.0不锈钢304</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不锈钢码斗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不锈钢码斗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11寸</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红色挤瓶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oz</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黄色挤瓶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oz</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白色挤瓶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oz</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竹锅刷</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精制腰斗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40*10cm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香山秤</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8kg</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val="en-US" w:eastAsia="zh-CN" w:bidi="ar"/>
              </w:rPr>
              <w:t xml:space="preserve">符合国家计量标准</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电子港称 </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15KG-1克</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符合国家计量标准</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竹制馅挑</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竹材等级：选用天然楠竹或毛竹（3-5 年成材），竹质坚硬、纹理致密，无虫蛀、无霉变、无开裂，节疤数量≤2 个 / 根（且节疤直径≤5mm，不影响使用）。​</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木制擀面杖</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木制擀面杖</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通心锤</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长筷子</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双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val="en-US" w:eastAsia="zh-CN" w:bidi="ar"/>
              </w:rPr>
              <w:t xml:space="preserve">为适用于集体食堂、后勤炊事保障等场景的长筷子，需满足食品级安全、高耐用性、易清洁、防滑防烫要求，符合《食品安全国家标准 食品接触用竹木制品》（GB 4806.2-2015）、《食品安全国家标准 食品接触用塑料材料及制品》（GB 4806.7-2016）</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打蛋器</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400mm粗线</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拔毛镊子</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val="en-US" w:eastAsia="zh-CN" w:bidi="ar"/>
              </w:rPr>
              <w:t xml:space="preserve">长度：</w:t>
            </w:r>
            <w:r>
              <w:rPr>
                <w:rFonts w:hint="default" w:ascii="宋体" w:hAnsi="宋体" w:eastAsia="宋体" w:cs="宋体"/>
                <w:i w:val="0"/>
                <w:iCs w:val="0"/>
                <w:color w:val="000000"/>
                <w:sz w:val="20"/>
                <w:szCs w:val="20"/>
                <w:u w:val="none"/>
                <w:lang w:val="en-US" w:eastAsia="zh-CN" w:bidi="ar"/>
              </w:rPr>
              <w:t xml:space="preserve">150mm±2mm</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头部尺寸</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尖端开口宽度≤0.5mm，闭合间隙≤0.05mm；头部厚度 0.3~0.5mm，长度 15~20mm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压肉器</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val="en-US" w:eastAsia="zh-CN" w:bidi="ar"/>
              </w:rPr>
              <w:t xml:space="preserve">需满足高承重、易操作、食品级安全、易清洁要求，适配肉馅压制、肉块整形、食材压平作业，符合《食品安全国家标准 食品接触用金属材料及制品》</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长肉钩</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卡式枪头</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t xml:space="preserve">可倒置调节、火力可调或软硬火调节。</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锅架连底座</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炒菜铁锅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锅体厚度≥</w:t>
            </w:r>
            <w:r>
              <w:rPr>
                <w:rFonts w:hint="eastAsia" w:ascii="宋体" w:hAnsi="宋体" w:eastAsia="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.0mm，锅底厚度≥</w:t>
            </w:r>
            <w:r>
              <w:rPr>
                <w:rFonts w:hint="eastAsia" w:ascii="宋体" w:hAnsi="宋体" w:eastAsia="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.0mm，避免大火爆炒变形</w:t>
            </w:r>
            <w:r>
              <w:rPr>
                <w:rFonts w:hint="eastAsia" w:ascii="宋体" w:hAnsi="宋体" w:eastAsia="宋体" w:cs="宋体"/>
                <w:i w:val="0"/>
                <w:iCs w:val="0"/>
                <w:color w:val="000000"/>
                <w:sz w:val="20"/>
                <w:szCs w:val="20"/>
                <w:u w:val="none"/>
                <w:lang w:val="en-US" w:eastAsia="zh-CN" w:bidi="ar"/>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炒菜铁锅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锅体厚度≥</w:t>
            </w:r>
            <w:r>
              <w:rPr>
                <w:rFonts w:hint="eastAsia" w:ascii="宋体" w:hAnsi="宋体" w:eastAsia="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.0mm，锅底厚度≥</w:t>
            </w:r>
            <w:r>
              <w:rPr>
                <w:rFonts w:hint="eastAsia" w:ascii="宋体" w:hAnsi="宋体" w:eastAsia="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.0mm，避免大火爆炒变形</w:t>
            </w:r>
            <w:r>
              <w:rPr>
                <w:rFonts w:hint="eastAsia" w:ascii="宋体" w:hAnsi="宋体" w:eastAsia="宋体" w:cs="宋体"/>
                <w:i w:val="0"/>
                <w:iCs w:val="0"/>
                <w:color w:val="000000"/>
                <w:sz w:val="20"/>
                <w:szCs w:val="20"/>
                <w:u w:val="none"/>
                <w:lang w:val="en-US" w:eastAsia="zh-CN" w:bidi="ar"/>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304 不锈钢  承重能力≥50kg</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 cm  22L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口径：32cm~50cm（对应容量），偏差 ±3mm；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水勺 </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5斤</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pStyle w:val="664"/>
              <w:ind w:left="0" w:right="0" w:firstLine="0"/>
              <w:jc w:val="left"/>
              <w:keepLines w:val="0"/>
              <w:keepNext w:val="0"/>
              <w:spacing w:before="156" w:beforeAutospacing="0" w:after="72" w:afterAutospacing="0" w:line="360" w:lineRule="atLeast"/>
              <w:shd w:val="clear" w:color="auto" w:fill="ffffff"/>
              <w:widowControl/>
              <w:rPr>
                <w:rFonts w:hint="default" w:ascii="宋体" w:hAnsi="宋体" w:eastAsia="宋体" w:cs="宋体"/>
                <w:i w:val="0"/>
                <w:iCs w:val="0"/>
                <w:color w:val="000000"/>
                <w:sz w:val="20"/>
                <w:szCs w:val="20"/>
                <w:u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t xml:space="preserve">食品级 304 不锈钢  </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不锈钢夹</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食品级 304 不锈钢  </w:t>
            </w:r>
            <w:r>
              <w:rPr>
                <w:rFonts w:hint="default" w:ascii="宋体" w:hAnsi="宋体" w:eastAsia="宋体" w:cs="宋体"/>
                <w:i w:val="0"/>
                <w:iCs w:val="0"/>
                <w:color w:val="000000"/>
                <w:sz w:val="20"/>
                <w:szCs w:val="20"/>
                <w:u w:val="none"/>
                <w:lang w:val="en-US" w:eastAsia="zh-CN" w:bidi="ar"/>
              </w:rPr>
              <w:t xml:space="preserve">‌承重能力</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≥5kg</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室内挂墙温度计</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测量范围：-10℃~60℃（覆盖室内常见温度区间，低温适配冬季库房，高温适配夏季后厨），扩展需求可支持 - 20℃~80℃（特殊环境如冷藏间外监测）。​</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长柄调味勺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食品级 304 不锈钢   </w:t>
            </w:r>
            <w:r>
              <w:rPr>
                <w:rFonts w:hint="default" w:ascii="宋体" w:hAnsi="宋体" w:eastAsia="宋体" w:cs="宋体"/>
                <w:i w:val="0"/>
                <w:iCs w:val="0"/>
                <w:color w:val="000000"/>
                <w:sz w:val="20"/>
                <w:szCs w:val="20"/>
                <w:u w:val="none"/>
                <w:lang w:val="en-US" w:eastAsia="zh-CN" w:bidi="ar"/>
              </w:rPr>
              <w:t xml:space="preserve">勺口直径：100mm±3mm；勺深：50mm±2mm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全刚菜刀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斩切刀</w:t>
            </w:r>
            <w:r>
              <w:rPr>
                <w:rFonts w:hint="eastAsia" w:ascii="宋体" w:hAnsi="宋体" w:eastAsia="宋体" w:cs="宋体"/>
                <w:i w:val="0"/>
                <w:iCs w:val="0"/>
                <w:color w:val="000000"/>
                <w:sz w:val="20"/>
                <w:szCs w:val="20"/>
                <w:u w:val="none"/>
                <w:lang w:val="en-US" w:eastAsia="zh-CN" w:bidi="ar"/>
              </w:rPr>
              <w:t xml:space="preserve">：总长</w:t>
            </w:r>
            <w:r>
              <w:rPr>
                <w:rFonts w:hint="default" w:ascii="宋体" w:hAnsi="宋体" w:eastAsia="宋体" w:cs="宋体"/>
                <w:i w:val="0"/>
                <w:iCs w:val="0"/>
                <w:color w:val="000000"/>
                <w:sz w:val="20"/>
                <w:szCs w:val="20"/>
                <w:u w:val="none"/>
                <w:lang w:val="en-US" w:eastAsia="zh-CN" w:bidi="ar"/>
              </w:rPr>
              <w:t xml:space="preserve">310mm±3mm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刃长</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190mm±2mm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刃宽</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100mm±2mm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刀背厚度</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2.5mm±0.2mm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单把重量</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350 g</w:t>
            </w:r>
            <w:r>
              <w:rPr>
                <w:rFonts w:hint="eastAsia"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中式砍刀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刀身长度≥450mm，刀身宽度≥120mm，刀柄长度≥150mm；整体重量控制在 1.2-1.5kg</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尺寸规格：刀身长度 300 - 350mm，刀身宽度 100 - 120mm，刀身厚度 2.5 - 3.5mm；刀柄长度 120 - 140mm，整体重量控制在 0.8 - 1.1kg</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文武刀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尺寸重量：采用 7.5 寸主流规格，刀身总长 300 - 320mm，其中刃长 180 - 200mm，刀身最宽处 90 - 100mm，刀背厚度渐变设计（前部切菜区 2 - 2.5mm，后部斩骨区 3.5 - 4.5mm）；刀柄长度 120 - 130mm，整体重量控制在 500 - 600g</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重型斩骨款：全长 220-240mm，刃长 90-100mm，手柄宽度（最大处）70-80mm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剥皮刀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标准款：刀身总长 150-180mm，刃长 80-100mm，刀身宽度 18-22mm，刀身厚度 1.2-1.5mm（刀尖处≤1.0mm）；刀柄长度 70-80mm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剥丝刀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不锈钢总长 25 - 30cm，手柄长 12 - 15cm，宽度 10 - 12cm，细眼款：孔径 67mm，粗眼款：孔径 45mm，增设中眼款（孔径 5*6mm），刨丝区域面积≥80cm²</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不锈钢刀盒</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26*19*15.5cm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食品级 304 不锈钢   26*19*15.5cm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不锈钢砧板架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30*27*27cm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食品级 304 不锈钢  </w:t>
            </w:r>
            <w:r>
              <w:rPr>
                <w:rFonts w:hint="default" w:ascii="宋体" w:hAnsi="宋体" w:eastAsia="宋体" w:cs="宋体"/>
                <w:i w:val="0"/>
                <w:iCs w:val="0"/>
                <w:color w:val="000000"/>
                <w:sz w:val="20"/>
                <w:szCs w:val="20"/>
                <w:u w:val="none"/>
                <w:lang w:val="en-US" w:eastAsia="zh-CN" w:bidi="ar"/>
              </w:rPr>
              <w:t xml:space="preserve">静态承重≥50kg</w:t>
            </w:r>
            <w:r>
              <w:rPr>
                <w:rFonts w:hint="eastAsia" w:ascii="宋体" w:hAnsi="宋体" w:eastAsia="宋体" w:cs="宋体"/>
                <w:i w:val="0"/>
                <w:iCs w:val="0"/>
                <w:color w:val="000000"/>
                <w:sz w:val="20"/>
                <w:szCs w:val="20"/>
                <w:u w:val="none"/>
                <w:lang w:val="en-US" w:eastAsia="zh-CN" w:bidi="ar"/>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35*50*4.8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食品级 304 不锈钢   35*50*4.8 cm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45*30*4.8 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  45*30*4.8 cm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60*40*4.8cm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食品级 304 不锈钢  60*40*4.8cm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削丝机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采用食品级塑料，刃口材质：采用食品级高韧性不锈钢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复合底不沾锅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锅口内径精准为 32cm，尺寸公差≤±0.3cm；锅身深度 8 - 10cm，锅盖直径适配 32cm 锅口，闭合后缝隙≤0.2cm，防止烹饪时油烟外溢和汤汁渗漏。</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肉叉</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食品级304不锈钢 </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default"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t xml:space="preserve">食品级 304 不锈钢   </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塑料周转箱（五色）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565*430*240mm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红、黄、蓝、绿、白</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t xml:space="preserve">食品级  外部尺寸：长 565mm× 宽 430mm× 高 240mm，尺寸公差≤±2mm；内部有效尺寸：长 550mm× 宽 415mm× 高 225mm，保证收纳容量适配性。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塑料壳眼筐（五色）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红、黄、蓝、绿、白</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食品级   外部标准尺寸：长 500mm× 宽 350mm× 高 200mm（行业通用中号 50 型基准），尺寸公差≤±2mm；内部有效收纳尺寸：长 485mm× 宽 335mm× 高 185mm，保证收纳容量适配性；</w:t>
            </w:r>
            <w:r/>
          </w:p>
          <w:p>
            <w:pPr>
              <w:jc w:val="left"/>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颜色：需提供红、黄、蓝、绿、白五种指定色。</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镂花纸垫</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￠8.5寸</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材质：选用食品级原木浆纸（木浆含量≥90%），符合 GB 4806.8-2016《食品接触用纸和纸板材料及制品》标准。</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百洁布</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标准尺寸：长 150mm× 宽 100mm× 厚 20mm（行业通用中号基准），尺寸公差≤±2mm。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炒菜手布</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t xml:space="preserve">标准尺寸：长 300mm× 宽 200mm（行业通用中号基准），尺寸公差≤±3mm；可按需定制长 350mm× 宽 250mm 款，公差同步≤±3mm</w:t>
            </w:r>
            <w:r>
              <w:rPr>
                <w:rFonts w:hint="eastAsia" w:ascii="宋体" w:hAnsi="宋体" w:eastAsia="宋体" w:cs="宋体"/>
                <w:i w:val="0"/>
                <w:iCs w:val="0"/>
                <w:color w:val="000000"/>
                <w:sz w:val="20"/>
                <w:szCs w:val="20"/>
                <w:u w:val="none"/>
                <w:lang w:val="en-US" w:eastAsia="zh-CN"/>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卫生抹布</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白、红、蓝、黄</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t xml:space="preserve">标准尺寸：通用中号款长 300mm× 宽 300mm（可按需调整为 250×250mm/350×350mm），尺寸公差≤±2mm</w:t>
            </w:r>
            <w:r>
              <w:rPr>
                <w:rFonts w:hint="eastAsia" w:ascii="宋体" w:hAnsi="宋体" w:eastAsia="宋体" w:cs="宋体"/>
                <w:i w:val="0"/>
                <w:iCs w:val="0"/>
                <w:color w:val="000000"/>
                <w:sz w:val="20"/>
                <w:szCs w:val="20"/>
                <w:u w:val="none"/>
                <w:lang w:val="en-US" w:eastAsia="zh-CN"/>
              </w:rPr>
              <w:t xml:space="preserve">。</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一次性手套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长宽24cm*9.5±0.2cm，高贴合度操作，符合 GB 4806.7-2016，乳胶蛋白含量≤0.01mg/g，低过敏配方。</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橡皮手套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长宽24cm*9.5±0.2cm，高贴合度操作，符合 GB 4806.7-2016，乳胶蛋白含量≤0.01mg/g，低过敏配方。</w:t>
            </w:r>
            <w:r/>
          </w:p>
        </w:tc>
      </w:tr>
      <w:tr>
        <w:trPr>
          <w:trHeight w:val="1825"/>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喷火枪</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可倒置360度使用 软硬火可调节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高密度合金钢管 加厚铜芯喷火嘴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万次点火耐用 强劲火焰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pStyle w:val="665"/>
              <w:ind w:left="0" w:right="0" w:firstLine="0"/>
              <w:jc w:val="left"/>
              <w:keepLines w:val="0"/>
              <w:keepNext w:val="0"/>
              <w:spacing w:before="0" w:beforeAutospacing="0" w:after="0" w:afterAutospacing="0"/>
              <w:shd w:val="clear" w:color="auto" w:fill="ffffff"/>
              <w:widowControl/>
              <w:rPr>
                <w:rFonts w:hint="eastAsia" w:ascii="宋体" w:hAnsi="宋体" w:eastAsia="宋体" w:cs="宋体"/>
                <w:i w:val="0"/>
                <w:iCs w:val="0"/>
                <w:color w:val="000000"/>
                <w:sz w:val="20"/>
                <w:szCs w:val="20"/>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olor w:val="000000"/>
                <w:sz w:val="20"/>
                <w:szCs w:val="20"/>
                <w:u w:val="none"/>
                <w:lang w:val="en-US" w:eastAsia="zh-CN"/>
              </w:rPr>
              <w:t xml:space="preserve">加长防爆款整体长度350±5mm喷火嘴直径10±0.5mm适配燃气罐类型220g 卡式气罐 / 5kg 液化气罐（需转接阀）可倒置360度使用 软硬火可调节 </w:t>
            </w:r>
            <w:r>
              <w:rPr>
                <w:rFonts w:hint="eastAsia" w:ascii="宋体" w:hAnsi="宋体" w:eastAsia="宋体" w:cs="宋体"/>
                <w:b w:val="0"/>
                <w:bCs w:val="0"/>
                <w:i w:val="0"/>
                <w:iCs w:val="0"/>
                <w:color w:val="000000"/>
                <w:sz w:val="20"/>
                <w:szCs w:val="20"/>
                <w:u w:val="none"/>
                <w:lang w:val="en-US" w:eastAsia="zh-CN"/>
              </w:rPr>
              <w:br/>
            </w:r>
            <w:r>
              <w:rPr>
                <w:rFonts w:hint="eastAsia" w:ascii="宋体" w:hAnsi="宋体" w:eastAsia="宋体" w:cs="宋体"/>
                <w:b w:val="0"/>
                <w:bCs w:val="0"/>
                <w:i w:val="0"/>
                <w:iCs w:val="0"/>
                <w:color w:val="000000"/>
                <w:sz w:val="20"/>
                <w:szCs w:val="20"/>
                <w:u w:val="none"/>
                <w:lang w:val="en-US" w:eastAsia="zh-CN"/>
              </w:rPr>
              <w:t xml:space="preserve">高密度合金钢管 加厚铜芯喷火嘴 </w:t>
            </w:r>
            <w:r>
              <w:rPr>
                <w:rFonts w:hint="eastAsia" w:ascii="宋体" w:hAnsi="宋体" w:eastAsia="宋体" w:cs="宋体"/>
                <w:b w:val="0"/>
                <w:bCs w:val="0"/>
                <w:i w:val="0"/>
                <w:iCs w:val="0"/>
                <w:color w:val="000000"/>
                <w:sz w:val="20"/>
                <w:szCs w:val="20"/>
                <w:u w:val="none"/>
                <w:lang w:val="en-US" w:eastAsia="zh-CN"/>
              </w:rPr>
              <w:br/>
            </w:r>
            <w:r>
              <w:rPr>
                <w:rFonts w:hint="eastAsia" w:ascii="宋体" w:hAnsi="宋体" w:eastAsia="宋体" w:cs="宋体"/>
                <w:b w:val="0"/>
                <w:bCs w:val="0"/>
                <w:i w:val="0"/>
                <w:iCs w:val="0"/>
                <w:color w:val="000000"/>
                <w:sz w:val="20"/>
                <w:szCs w:val="20"/>
                <w:u w:val="none"/>
                <w:lang w:val="en-US" w:eastAsia="zh-CN"/>
              </w:rPr>
              <w:t xml:space="preserve">万次点火耐用 强劲火焰。</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1.主体内胆：采用食品级 304 不锈钢（高需求场景可选 316不锈钢），符合 GB/T 3280-2015 标准，含镍量≥8%、含铬量≥18%，耐酸碱腐蚀（适配酱油、醋等调味食材加热）；内胆厚度≥0.5mm，表面粗糙度 Ra≤1.6μm，无砂眼、麻点，焊接处采用 “氩弧焊接”（焊缝高度≥1mm，无虚焊、漏焊），焊后酸洗钝化处理，无焊渣残留，避免食材粘连与污染。</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2.外壳材质：采用冷轧钢板（厚度≥0.8mm）或 ABS 工程塑料（厚度≥2mm，抗冲击强度≥15kJ/m²，耐温≥80℃），表面喷塑或磨砂处理，防指纹、易清洁，无划痕、色差；外壳散热孔需为 “防尘防虫设计”（孔径≤2mm，避免异物进入腔体）。</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3.规格尺寸</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25-30L（误差≤±5%）​</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适配食堂常用餐具（如 10 寸餐盘、2L 汤碗），单次加热 2-4 人份食材​</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外形尺寸（宽 × 深 × 高）​</w:t>
            </w:r>
            <w:r/>
          </w:p>
          <w:p>
            <w:pPr>
              <w:jc w:val="left"/>
              <w:keepLines w:val="0"/>
              <w:keepNext w:val="0"/>
              <w:widowControl/>
              <w:rPr>
                <w:rFonts w:hint="default"/>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50-55cm×35-40cm×30-35cm（误差≤±2cm）​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外部尺寸：长 720mm× 宽 580mm× 高 980mm（适配 160L 标准容量），尺寸公差≤±3mm；</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内部有效容量：≥160L，桶口内径≥680×540mm，桶底外径≥700×560mm，保证垃圾装载量。</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300ML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外部尺寸：长 100mm× 宽 100mm× 高 40mm（方形款）/ 直径 85mm× 高 55mm（圆形款），尺寸公差≤±1mm；</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内部有效容量：≥300mL，盒口内径（方形）≥90×90mm/（圆形）≥75mm，保证留样量符合食品安全规范。</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刀砖</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油石</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250×75×30mm（公差≤±1mm）粗磨（80#/100#）、中磨（240#/320#）、细磨（600#/800#）（各2块）</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鱼鳞刨</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核心尺寸</w:t>
            </w:r>
            <w:r/>
          </w:p>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整体尺寸：长 180±3mm（手柄 + 刨头），刨头宽度 60±2mm，手柄长度 120±2mm，厚度 10±1mm。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打饭铲</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食品级 尼龙材质：耐温≥150℃</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金属勺体：优先采用食品级 304 不锈钢</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58cm不锈钢盖体（适配高强度烹饪，如爆炒、重压）​</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48CM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48cm不锈钢盖体（适配高强度烹饪，如爆炒、重压）​</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500mm*800mm</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核心材质要求（适配食品级调料管理）​</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（一）车架材质​</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主体框架：采用食品级 304 不锈钢厚度1.0mm；</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管材规格：主框架管材直径≥25mm，壁厚≥1.2mm；侧框架管材直径≥20mm，壁厚≥1.0mm；焊接处采用 “氩弧焊接”（焊缝高度≥3mm，无虚焊、漏焊），焊后酸洗钝化处理（去除焊渣、氧化层），表面粗糙度 Ra≤1.6μm，无锈蚀隐患；​</w:t>
            </w:r>
            <w:r/>
          </w:p>
          <w:p>
            <w:pPr>
              <w:pStyle w:val="673"/>
              <w:ind w:left="0" w:firstLine="0"/>
              <w:rPr>
                <w:rFonts w:hint="eastAsia"/>
                <w:lang w:val="en-US" w:eastAsia="zh-CN"/>
              </w:rPr>
            </w:pPr>
            <w:r>
              <w:rPr>
                <w:rFonts w:hint="eastAsia" w:ascii="宋体" w:hAnsi="宋体" w:eastAsia="宋体" w:cs="宋体"/>
                <w:b w:val="0"/>
                <w:bCs w:val="0"/>
                <w:i w:val="0"/>
                <w:iCs w:val="0"/>
                <w:color w:val="000000"/>
                <w:sz w:val="20"/>
                <w:szCs w:val="20"/>
                <w:u w:val="none"/>
                <w:lang w:val="en-US" w:eastAsia="zh-CN"/>
              </w:rPr>
              <w:t xml:space="preserve">禁用要求：不得使用 200 系列不锈钢（易锈蚀）、镀锌钢管（析出有害物质污染调料），禁止框架拼接焊接（降低结构稳定性）。​</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整体尺寸（总长 × 刃长 × 柄长）200×80×120mm（公差≤±1mm）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一次性厨师帽</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中号（通用款）</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透明防雾口罩</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通用款</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防水围裙</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规格类型</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常规款整体尺寸</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防水袖套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规格类型</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常规款整体尺寸</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隔热手套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整体尺寸（长 × 掌宽 × 指长）30±2cm×12±1cm×8±1cm，厚度≥5mm，适配手型掌围 20-25cm（成人通用）</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塑料扫帚+簸箕</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扫帚</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常规款</w:t>
            </w:r>
            <w:r>
              <w:rPr>
                <w:rFonts w:hint="eastAsia" w:ascii="宋体" w:hAnsi="宋体" w:eastAsia="宋体" w:cs="宋体"/>
                <w:b w:val="0"/>
                <w:bCs w:val="0"/>
                <w:i w:val="0"/>
                <w:iCs w:val="0"/>
                <w:color w:val="000000"/>
                <w:sz w:val="20"/>
                <w:szCs w:val="20"/>
                <w:u w:val="none"/>
                <w:lang w:val="en-US" w:eastAsia="zh-CN"/>
              </w:rPr>
              <w:tab/>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筷子消毒机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台式款，450±5mm×300±5mm×500±5mm，≥30L，筷长22-28cm，容量≥500 双。内胆 / 层架。</w:t>
            </w:r>
            <w:r>
              <w:rPr>
                <w:rFonts w:hint="eastAsia" w:ascii="宋体" w:hAnsi="宋体" w:eastAsia="宋体" w:cs="宋体"/>
                <w:b w:val="0"/>
                <w:bCs w:val="0"/>
                <w:i w:val="0"/>
                <w:iCs w:val="0"/>
                <w:color w:val="000000"/>
                <w:sz w:val="20"/>
                <w:szCs w:val="20"/>
                <w:u w:val="none"/>
                <w:lang w:val="en-US" w:eastAsia="zh-CN"/>
              </w:rPr>
              <w:tab/>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清洁球</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t xml:space="preserve">常规款</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保鲜盒</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1号 ，优质环保塑料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方形款</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200×150×80mm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≥2000mL</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保鲜盒</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3号 ，优质环保塑料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方形款，150×100×60mm，≥800mL</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大包厢餐具</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冷菜盘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汤碗</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12寸</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11寸</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鱼盘</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20寸</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配套骨质瓷，皇家镁质瓷 高档镁质瓷须1384度以上二次烧窑制作,耐高温耐碰撞</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砂锅</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6L 款（常规）</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300×180×150mm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≥6L</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侧壁≥12mm，锅底≥15mm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口径 / 高度≤±5mm，容量≤±0.2L</w:t>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卡式炉</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加厚防爆款360×290×105mm（公差≤±5mm）2.2±0.1kg</w:t>
            </w:r>
            <w:r>
              <w:rPr>
                <w:rFonts w:hint="eastAsia" w:ascii="宋体" w:hAnsi="宋体" w:eastAsia="宋体" w:cs="宋体"/>
                <w:b w:val="0"/>
                <w:bCs w:val="0"/>
                <w:i w:val="0"/>
                <w:iCs w:val="0"/>
                <w:color w:val="000000"/>
                <w:sz w:val="20"/>
                <w:szCs w:val="20"/>
                <w:u w:val="none"/>
                <w:lang w:val="en-US" w:eastAsia="zh-CN"/>
              </w:rPr>
              <w:tab/>
            </w:r>
            <w:r/>
          </w:p>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220g 卡式气罐 。</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48瓶</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配套卡式炉使用</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高脚杯</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白酒杯（小款）</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150±2mm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45±1mm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50±1mm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80±2mm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50±5mL</w:t>
            </w:r>
            <w:r>
              <w:rPr>
                <w:rFonts w:hint="eastAsia" w:ascii="宋体" w:hAnsi="宋体" w:eastAsia="宋体" w:cs="宋体"/>
                <w:b w:val="0"/>
                <w:bCs w:val="0"/>
                <w:i w:val="0"/>
                <w:iCs w:val="0"/>
                <w:color w:val="000000"/>
                <w:sz w:val="20"/>
                <w:szCs w:val="20"/>
                <w:u w:val="none"/>
                <w:lang w:val="en-US" w:eastAsia="zh-CN"/>
              </w:rPr>
              <w:tab/>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分酒器+小酒杯</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100mL 分酒器</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总高度 150±2mm，杯口直径 50±1mm，底座直径 60±1mm，容量≥100mL</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电子秤</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150KG</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加厚款（落地式）</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500×600mm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0-150kg</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50g</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0.05kg</w:t>
            </w:r>
            <w:r>
              <w:rPr>
                <w:rFonts w:hint="eastAsia" w:ascii="宋体" w:hAnsi="宋体" w:eastAsia="宋体" w:cs="宋体"/>
                <w:b w:val="0"/>
                <w:bCs w:val="0"/>
                <w:i w:val="0"/>
                <w:iCs w:val="0"/>
                <w:color w:val="000000"/>
                <w:sz w:val="20"/>
                <w:szCs w:val="20"/>
                <w:u w:val="none"/>
                <w:lang w:val="en-US" w:eastAsia="zh-CN"/>
              </w:rPr>
              <w:tab/>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方头布拖把</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加大款400×150×50mm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1250±30mm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400×150mm，拖把头≤±5mm，手柄≤±30mm</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海绵拖把</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海绵头</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高密度 PVA 吸水海绵（密度≥0.8g/cm³）</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QB/T 2560-2021</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吸水倍率≥15 倍自身重量，拉伸强度≥1.5MPa，邵氏硬度 30±5°</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甩干拖把桶</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500×350×300mm</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≥20L</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250±5mm，尺寸≤±5mm，容量≤±0.5L</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大桶洗洁精</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t xml:space="preserve">50Kg / 桶</w:t>
            </w:r>
            <w:r>
              <w:rPr>
                <w:rFonts w:hint="eastAsia" w:ascii="宋体" w:hAnsi="宋体" w:eastAsia="宋体" w:cs="宋体"/>
                <w:b w:val="0"/>
                <w:bCs w:val="0"/>
                <w:i w:val="0"/>
                <w:iCs w:val="0"/>
                <w:color w:val="000000"/>
                <w:sz w:val="20"/>
                <w:szCs w:val="20"/>
                <w:u w:val="none"/>
                <w:lang w:val="en-US" w:eastAsia="zh-CN"/>
              </w:rPr>
              <w:t xml:space="preserve">，去油力强。</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硅胶屉布</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550*350 ，优质环保材料，透气性好</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550*350 ，优质环保材料，透气性好。</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白色垃圾桶配残菜台</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t xml:space="preserve">白色垃圾桶</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常规款</w:t>
            </w:r>
            <w:r>
              <w:rPr>
                <w:rFonts w:hint="eastAsia" w:ascii="宋体" w:hAnsi="宋体" w:eastAsia="宋体" w:cs="宋体"/>
                <w:b w:val="0"/>
                <w:bCs w:val="0"/>
                <w:i w:val="0"/>
                <w:iCs w:val="0"/>
                <w:color w:val="000000"/>
                <w:sz w:val="20"/>
                <w:szCs w:val="20"/>
                <w:u w:val="none"/>
                <w:lang w:val="en-US" w:eastAsia="zh-CN"/>
              </w:rPr>
              <w:tab/>
            </w:r>
            <w:r>
              <w:rPr>
                <w:rFonts w:hint="eastAsia" w:ascii="宋体" w:hAnsi="宋体" w:eastAsia="宋体" w:cs="宋体"/>
                <w:b w:val="0"/>
                <w:bCs w:val="0"/>
                <w:i w:val="0"/>
                <w:iCs w:val="0"/>
                <w:color w:val="000000"/>
                <w:sz w:val="20"/>
                <w:szCs w:val="20"/>
                <w:u w:val="none"/>
                <w:lang w:val="en-US" w:eastAsia="zh-CN"/>
              </w:rPr>
              <w:t xml:space="preserve">上口直径 500mm× 下口直径 400mm× 高度 600mm，容量≥80L。</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洗碗机分配器</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lang w:eastAsia="zh-CN"/>
              </w:rPr>
              <w:suppressLineNumbers w:val="0"/>
            </w:pPr>
            <w:r>
              <w:rPr>
                <w:rFonts w:hint="eastAsia" w:ascii="宋体" w:hAnsi="宋体" w:eastAsia="宋体" w:cs="宋体"/>
                <w:i w:val="0"/>
                <w:iCs w:val="0"/>
                <w:color w:val="000000"/>
                <w:sz w:val="20"/>
                <w:szCs w:val="20"/>
                <w:u w:val="none"/>
                <w:lang w:val="en-US" w:eastAsia="zh-CN" w:bidi="ar"/>
              </w:rPr>
              <w:t xml:space="preserve">洗碗机分配器，配套洗碗机</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洗碗机催干剂</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u w:val="none"/>
                <w:lang w:val="en-US" w:eastAsia="zh-CN" w:bidi="ar"/>
              </w:rPr>
              <w:t xml:space="preserve">洗碗机催干剂，配套洗碗机</w:t>
            </w:r>
            <w:r/>
          </w:p>
        </w:tc>
      </w:tr>
      <w:tr>
        <w:trPr>
          <w:trHeight w:val="640"/>
        </w:trPr>
        <w:tc>
          <w:tcPr>
            <w:shd w:val="clear" w:color="auto" w:fill="ffffff"/>
            <w:tcBorders>
              <w:top w:val="single" w:color="000000" w:sz="4" w:space="0"/>
              <w:left w:val="single" w:color="auto" w:sz="4" w:space="0"/>
              <w:bottom w:val="single" w:color="auto"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auto" w:sz="4" w:space="0"/>
              <w:right w:val="single" w:color="000000" w:sz="4" w:space="0"/>
            </w:tcBorders>
            <w:tcW w:w="10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洗碗机洗涤剂</w:t>
            </w:r>
            <w:r/>
          </w:p>
        </w:tc>
        <w:tc>
          <w:tcPr>
            <w:shd w:val="clear" w:color="auto" w:fill="ffffff"/>
            <w:tcBorders>
              <w:top w:val="single" w:color="000000" w:sz="4" w:space="0"/>
              <w:left w:val="single" w:color="000000" w:sz="4" w:space="0"/>
              <w:bottom w:val="single" w:color="auto"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20L</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auto" w:sz="4" w:space="0"/>
              <w:right w:val="single" w:color="000000" w:sz="4" w:space="0"/>
            </w:tcBorders>
            <w:tcW w:w="6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auto" w:sz="4" w:space="0"/>
              <w:right w:val="single" w:color="000000" w:sz="4" w:space="0"/>
            </w:tcBorders>
            <w:tcW w:w="1524"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auto" w:sz="4" w:space="0"/>
              <w:right w:val="single" w:color="auto" w:sz="4" w:space="0"/>
            </w:tcBorders>
            <w:tcW w:w="402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yellow"/>
                <w:u w:val="none"/>
              </w:rPr>
              <w:suppressLineNumbers w:val="0"/>
            </w:pPr>
            <w:r>
              <w:rPr>
                <w:rFonts w:hint="eastAsia" w:ascii="宋体" w:hAnsi="宋体" w:eastAsia="宋体" w:cs="宋体"/>
                <w:i w:val="0"/>
                <w:iCs w:val="0"/>
                <w:color w:val="000000"/>
                <w:sz w:val="20"/>
                <w:szCs w:val="20"/>
                <w:u w:val="none"/>
                <w:lang w:val="en-US" w:eastAsia="zh-CN" w:bidi="ar"/>
              </w:rPr>
              <w:t xml:space="preserve">洗碗机洗涤剂，配套洗碗机</w:t>
            </w:r>
            <w:r/>
          </w:p>
        </w:tc>
      </w:tr>
    </w:tbl>
    <w:p>
      <w:pPr>
        <w:pStyle w:val="695"/>
        <w:jc w:val="both"/>
        <w:spacing w:beforeAutospacing="0" w:afterAutospacing="0"/>
        <w:rPr>
          <w:rFonts w:hint="eastAsia" w:ascii="宋体" w:hAnsi="宋体" w:eastAsia="宋体" w:cs="宋体"/>
        </w:rPr>
      </w:pPr>
      <w:r>
        <w:rPr>
          <w:rFonts w:hint="eastAsia" w:ascii="宋体" w:hAnsi="宋体" w:eastAsia="宋体" w:cs="宋体"/>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以上尺寸为参考尺寸，具体以现场测量为准，供货时，所有定制货物的颜色、式样、尺寸等需经采购人同意确认后方可定制。</w:t>
      </w:r>
      <w:r/>
    </w:p>
    <w:p>
      <w:pPr>
        <w:pStyle w:val="873"/>
        <w:ind w:left="0" w:firstLine="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投标人需综合考虑包括且不限于电缆、电线、各类管材等辅材及打孔、吊装、地面开槽、室内杂物清除、现场保洁等服务内容费用，投标人均须考虑在报价中，成交后不得以任何理由拒绝履约</w:t>
      </w:r>
      <w:r>
        <w:rPr>
          <w:rFonts w:hint="eastAsia" w:ascii="宋体" w:hAnsi="宋体" w:eastAsia="宋体" w:cs="宋体"/>
          <w:b/>
          <w:bCs/>
          <w:color w:val="auto"/>
          <w:sz w:val="24"/>
          <w:szCs w:val="24"/>
          <w:highlight w:val="none"/>
          <w:lang w:val="en-US" w:eastAsia="zh-CN"/>
        </w:rPr>
        <w:t xml:space="preserve">。</w:t>
      </w:r>
      <w:r/>
    </w:p>
    <w:p>
      <w:pPr>
        <w:pStyle w:val="695"/>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ind w:firstLine="602"/>
        <w:jc w:val="both"/>
        <w:keepLines w:val="0"/>
        <w:keepNext w:val="0"/>
        <w:pageBreakBefore w:val="0"/>
        <w:spacing w:beforeAutospacing="0" w:afterAutospacing="0" w:line="360" w:lineRule="auto"/>
        <w:widowControl w:val="off"/>
      </w:pPr>
      <w:r/>
      <w:r/>
    </w:p>
    <w:p>
      <w:pPr>
        <w:pStyle w:val="695"/>
        <w:jc w:val="both"/>
        <w:keepLines w:val="0"/>
        <w:keepNext w:val="0"/>
        <w:pageBreakBefore w:val="0"/>
        <w:spacing w:beforeAutospacing="0" w:afterAutospacing="0"/>
        <w:widowControl w:val="off"/>
        <w:rPr>
          <w:rFonts w:hint="eastAsia" w:ascii="黑体" w:hAnsi="宋体" w:eastAsia="黑体" w:cs="黑体"/>
          <w:sz w:val="44"/>
          <w:szCs w:val="44"/>
        </w:rPr>
      </w:pPr>
      <w:r>
        <w:rPr>
          <w:rFonts w:hint="eastAsia" w:ascii="黑体" w:hAnsi="宋体" w:eastAsia="黑体" w:cs="黑体"/>
          <w:sz w:val="44"/>
          <w:szCs w:val="44"/>
        </w:rPr>
      </w:r>
      <w:r/>
    </w:p>
    <w:p>
      <w:pPr>
        <w:pStyle w:val="695"/>
        <w:jc w:val="center"/>
        <w:keepNext/>
        <w:spacing w:beforeAutospacing="0" w:afterAutospacing="0"/>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695"/>
        <w:jc w:val="both"/>
        <w:spacing w:beforeAutospacing="0" w:afterAutospacing="0"/>
      </w:pPr>
      <w: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一、定标原则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000000"/>
          <w:sz w:val="24"/>
          <w:u w:val="single"/>
        </w:rPr>
        <w:t xml:space="preserve"> 综合评分 </w:t>
      </w:r>
      <w:r>
        <w:rPr>
          <w:rFonts w:ascii="宋体" w:hAnsi="宋体" w:eastAsia="宋体" w:cs="宋体"/>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2"/>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二、政府采购政策功能落实</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1</w:t>
      </w:r>
      <w:r>
        <w:rPr>
          <w:rFonts w:ascii="宋体" w:hAnsi="宋体" w:eastAsia="宋体" w:cs="宋体"/>
          <w:color w:val="000000"/>
          <w:sz w:val="21"/>
        </w:rPr>
        <w:t xml:space="preserve">、小微型企业价格扣除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）本项目不专门面向中小企业采购，对符合规定的小型和微型企业报价给予</w:t>
      </w:r>
      <w:r>
        <w:rPr>
          <w:rFonts w:ascii="Calibri" w:hAnsi="Calibri" w:eastAsia="Calibri" w:cs="Calibri"/>
          <w:color w:val="000000"/>
          <w:sz w:val="21"/>
        </w:rPr>
        <w:t xml:space="preserve">20%</w:t>
      </w:r>
      <w:r>
        <w:rPr>
          <w:rFonts w:ascii="宋体" w:hAnsi="宋体" w:eastAsia="宋体" w:cs="宋体"/>
          <w:color w:val="000000"/>
          <w:sz w:val="21"/>
        </w:rPr>
        <w:t xml:space="preserve">的扣除价格，用扣除后的价格参与评审。</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）供应商需按照采购文件的要求提供相应的《中小企业声明函》。</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3</w:t>
      </w:r>
      <w:r>
        <w:rPr>
          <w:rFonts w:ascii="宋体" w:hAnsi="宋体" w:eastAsia="宋体" w:cs="宋体"/>
          <w:color w:val="000000"/>
          <w:sz w:val="21"/>
        </w:rPr>
        <w:t xml:space="preserve">）企业标准请参照《关于印发中小企业划型标准规定的通知》（工信部联企业〔</w:t>
      </w:r>
      <w:r>
        <w:rPr>
          <w:rFonts w:ascii="Calibri" w:hAnsi="Calibri" w:eastAsia="Calibri" w:cs="Calibri"/>
          <w:color w:val="000000"/>
          <w:sz w:val="21"/>
        </w:rPr>
        <w:t xml:space="preserve">2011</w:t>
      </w:r>
      <w:r>
        <w:rPr>
          <w:rFonts w:ascii="宋体" w:hAnsi="宋体" w:eastAsia="宋体" w:cs="宋体"/>
          <w:color w:val="000000"/>
          <w:sz w:val="21"/>
        </w:rPr>
        <w:t xml:space="preserve">〕</w:t>
      </w:r>
      <w:r>
        <w:rPr>
          <w:rFonts w:ascii="Calibri" w:hAnsi="Calibri" w:eastAsia="Calibri" w:cs="Calibri"/>
          <w:color w:val="000000"/>
          <w:sz w:val="21"/>
        </w:rPr>
        <w:t xml:space="preserve">300</w:t>
      </w:r>
      <w:r>
        <w:rPr>
          <w:rFonts w:ascii="宋体" w:hAnsi="宋体" w:eastAsia="宋体" w:cs="宋体"/>
          <w:color w:val="000000"/>
          <w:sz w:val="21"/>
        </w:rPr>
        <w:t xml:space="preserve">号）文件规定自行填写。</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2</w:t>
      </w:r>
      <w:r>
        <w:rPr>
          <w:rFonts w:ascii="宋体" w:hAnsi="宋体" w:eastAsia="宋体" w:cs="宋体"/>
          <w:color w:val="000000"/>
          <w:sz w:val="21"/>
        </w:rPr>
        <w:t xml:space="preserve">、残疾人福利单位价格扣除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）本项目对残疾人福利性单位视同小型、微型企业，给予</w:t>
      </w:r>
      <w:r>
        <w:rPr>
          <w:rFonts w:ascii="Calibri" w:hAnsi="Calibri" w:eastAsia="Calibri" w:cs="Calibri"/>
          <w:color w:val="000000"/>
          <w:sz w:val="21"/>
        </w:rPr>
        <w:t xml:space="preserve">20%</w:t>
      </w:r>
      <w:r>
        <w:rPr>
          <w:rFonts w:ascii="宋体" w:hAnsi="宋体" w:eastAsia="宋体" w:cs="宋体"/>
          <w:color w:val="000000"/>
          <w:sz w:val="21"/>
        </w:rPr>
        <w:t xml:space="preserve">的价格扣除。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）残疾人福利单位需按照采购文件的要求提供《残疾人福利性单位声明函》。</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3</w:t>
      </w:r>
      <w:r>
        <w:rPr>
          <w:rFonts w:ascii="宋体" w:hAnsi="宋体" w:eastAsia="宋体" w:cs="宋体"/>
          <w:color w:val="000000"/>
          <w:sz w:val="21"/>
        </w:rPr>
        <w:t xml:space="preserve">）残疾人福利单位标准请参照《关于促进残疾人就业政府采购政策的通知》（财库〔</w:t>
      </w:r>
      <w:r>
        <w:rPr>
          <w:rFonts w:ascii="Calibri" w:hAnsi="Calibri" w:eastAsia="Calibri" w:cs="Calibri"/>
          <w:color w:val="000000"/>
          <w:sz w:val="21"/>
        </w:rPr>
        <w:t xml:space="preserve">2017</w:t>
      </w:r>
      <w:r>
        <w:rPr>
          <w:rFonts w:ascii="宋体" w:hAnsi="宋体" w:eastAsia="宋体" w:cs="宋体"/>
          <w:color w:val="000000"/>
          <w:sz w:val="21"/>
        </w:rPr>
        <w:t xml:space="preserve">〕</w:t>
      </w:r>
      <w:r>
        <w:rPr>
          <w:rFonts w:ascii="Calibri" w:hAnsi="Calibri" w:eastAsia="Calibri" w:cs="Calibri"/>
          <w:color w:val="000000"/>
          <w:sz w:val="21"/>
        </w:rPr>
        <w:t xml:space="preserve">141</w:t>
      </w:r>
      <w:r>
        <w:rPr>
          <w:rFonts w:ascii="宋体" w:hAnsi="宋体" w:eastAsia="宋体" w:cs="宋体"/>
          <w:color w:val="000000"/>
          <w:sz w:val="21"/>
        </w:rPr>
        <w:t xml:space="preserve">号）。</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3</w:t>
      </w:r>
      <w:r>
        <w:rPr>
          <w:rFonts w:ascii="宋体" w:hAnsi="宋体" w:eastAsia="宋体" w:cs="宋体"/>
          <w:color w:val="000000"/>
          <w:sz w:val="21"/>
        </w:rPr>
        <w:t xml:space="preserve">、监狱和戒毒企业价格扣除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）本项目对监狱和戒毒企业（简称监狱企业）视同小型、微型企业，给予</w:t>
      </w:r>
      <w:r>
        <w:rPr>
          <w:rFonts w:ascii="Calibri" w:hAnsi="Calibri" w:eastAsia="Calibri" w:cs="Calibri"/>
          <w:color w:val="000000"/>
          <w:sz w:val="21"/>
        </w:rPr>
        <w:t xml:space="preserve">20%</w:t>
      </w:r>
      <w:r>
        <w:rPr>
          <w:rFonts w:ascii="宋体" w:hAnsi="宋体" w:eastAsia="宋体" w:cs="宋体"/>
          <w:color w:val="000000"/>
          <w:sz w:val="21"/>
        </w:rPr>
        <w:t xml:space="preserve">的价格扣除。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）监狱企业参加政府采购活动时，需提供由省级以上监狱管理局、戒毒管理局</w:t>
      </w:r>
      <w:r>
        <w:rPr>
          <w:rFonts w:ascii="Calibri" w:hAnsi="Calibri" w:eastAsia="Calibri" w:cs="Calibri"/>
          <w:color w:val="000000"/>
          <w:sz w:val="21"/>
        </w:rPr>
        <w:t xml:space="preserve">(</w:t>
      </w:r>
      <w:r>
        <w:rPr>
          <w:rFonts w:ascii="宋体" w:hAnsi="宋体" w:eastAsia="宋体" w:cs="宋体"/>
          <w:color w:val="000000"/>
          <w:sz w:val="21"/>
        </w:rPr>
        <w:t xml:space="preserve">含新疆生产建设兵团</w:t>
      </w:r>
      <w:r>
        <w:rPr>
          <w:rFonts w:ascii="Calibri" w:hAnsi="Calibri" w:eastAsia="Calibri" w:cs="Calibri"/>
          <w:color w:val="000000"/>
          <w:sz w:val="21"/>
        </w:rPr>
        <w:t xml:space="preserve">)</w:t>
      </w:r>
      <w:r>
        <w:rPr>
          <w:rFonts w:ascii="宋体" w:hAnsi="宋体" w:eastAsia="宋体" w:cs="宋体"/>
          <w:color w:val="000000"/>
          <w:sz w:val="21"/>
        </w:rPr>
        <w:t xml:space="preserve">出具的属于监狱企业的证明文件。供应商如不提供上述证明文件，价格将不做相应扣除。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3</w:t>
      </w:r>
      <w:r>
        <w:rPr>
          <w:rFonts w:ascii="宋体" w:hAnsi="宋体" w:eastAsia="宋体" w:cs="宋体"/>
          <w:color w:val="000000"/>
          <w:sz w:val="21"/>
        </w:rPr>
        <w:t xml:space="preserve">）监狱企业标准请参照《关于政府采购支持监狱企业发展有关问题的通知》（财库〔</w:t>
      </w:r>
      <w:r>
        <w:rPr>
          <w:rFonts w:ascii="Calibri" w:hAnsi="Calibri" w:eastAsia="Calibri" w:cs="Calibri"/>
          <w:color w:val="000000"/>
          <w:sz w:val="21"/>
        </w:rPr>
        <w:t xml:space="preserve">2014</w:t>
      </w:r>
      <w:r>
        <w:rPr>
          <w:rFonts w:ascii="宋体" w:hAnsi="宋体" w:eastAsia="宋体" w:cs="宋体"/>
          <w:color w:val="000000"/>
          <w:sz w:val="21"/>
        </w:rPr>
        <w:t xml:space="preserve">〕</w:t>
      </w:r>
      <w:r>
        <w:rPr>
          <w:rFonts w:ascii="Calibri" w:hAnsi="Calibri" w:eastAsia="Calibri" w:cs="Calibri"/>
          <w:color w:val="000000"/>
          <w:sz w:val="21"/>
        </w:rPr>
        <w:t xml:space="preserve">68</w:t>
      </w:r>
      <w:r>
        <w:rPr>
          <w:rFonts w:ascii="宋体" w:hAnsi="宋体" w:eastAsia="宋体" w:cs="宋体"/>
          <w:color w:val="000000"/>
          <w:sz w:val="21"/>
        </w:rPr>
        <w:t xml:space="preserve">号）。</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4</w:t>
      </w:r>
      <w:r>
        <w:rPr>
          <w:rFonts w:ascii="宋体" w:hAnsi="宋体" w:eastAsia="宋体" w:cs="宋体"/>
          <w:color w:val="000000"/>
          <w:sz w:val="21"/>
        </w:rPr>
        <w:t xml:space="preserve">、残疾人福利单位、监狱企业属于小型、微型企业的，不重复享受政策。</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5</w:t>
      </w:r>
      <w:r>
        <w:rPr>
          <w:rFonts w:ascii="宋体" w:hAnsi="宋体" w:eastAsia="宋体" w:cs="宋体"/>
          <w:color w:val="000000"/>
          <w:sz w:val="21"/>
        </w:rPr>
        <w:t xml:space="preserve">、如本项目同意联合体投标或同意分包履行合同的</w:t>
      </w:r>
      <w:r>
        <w:rPr>
          <w:rFonts w:ascii="Calibri" w:hAnsi="Calibri" w:eastAsia="Calibri" w:cs="Calibri"/>
          <w:color w:val="000000"/>
          <w:sz w:val="21"/>
        </w:rPr>
        <w:t xml:space="preserve">,</w:t>
      </w:r>
      <w:r>
        <w:rPr>
          <w:rFonts w:ascii="宋体" w:hAnsi="宋体" w:eastAsia="宋体" w:cs="宋体"/>
          <w:color w:val="000000"/>
          <w:sz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Calibri" w:hAnsi="Calibri" w:eastAsia="Calibri" w:cs="Calibri"/>
          <w:color w:val="000000"/>
          <w:sz w:val="21"/>
        </w:rPr>
        <w:t xml:space="preserve">30%</w:t>
      </w:r>
      <w:r>
        <w:rPr>
          <w:rFonts w:ascii="宋体" w:hAnsi="宋体" w:eastAsia="宋体" w:cs="宋体"/>
          <w:color w:val="000000"/>
          <w:sz w:val="21"/>
        </w:rPr>
        <w:t xml:space="preserve">以上的，给予联合体或者大中型企业</w:t>
      </w:r>
      <w:r>
        <w:rPr>
          <w:rFonts w:ascii="Calibri" w:hAnsi="Calibri" w:eastAsia="Calibri" w:cs="Calibri"/>
          <w:color w:val="000000"/>
          <w:sz w:val="21"/>
        </w:rPr>
        <w:t xml:space="preserve">6%</w:t>
      </w:r>
      <w:r>
        <w:rPr>
          <w:rFonts w:ascii="宋体" w:hAnsi="宋体" w:eastAsia="宋体" w:cs="宋体"/>
          <w:color w:val="000000"/>
          <w:sz w:val="21"/>
        </w:rPr>
        <w:t xml:space="preserve">的价格扣除，用扣除后的价格参与评审。</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6</w:t>
      </w:r>
      <w:r>
        <w:rPr>
          <w:rFonts w:ascii="宋体" w:hAnsi="宋体" w:eastAsia="宋体" w:cs="宋体"/>
          <w:color w:val="000000"/>
          <w:sz w:val="21"/>
        </w:rPr>
        <w:t xml:space="preserve">、联合体各方均为小型、微型企业（残疾人福利单位、监狱企业）的，联合体享受</w:t>
      </w:r>
      <w:r>
        <w:rPr>
          <w:rFonts w:ascii="Calibri" w:hAnsi="Calibri" w:eastAsia="Calibri" w:cs="Calibri"/>
          <w:color w:val="000000"/>
          <w:sz w:val="21"/>
        </w:rPr>
        <w:t xml:space="preserve">20%</w:t>
      </w:r>
      <w:r>
        <w:rPr>
          <w:rFonts w:ascii="宋体" w:hAnsi="宋体" w:eastAsia="宋体" w:cs="宋体"/>
          <w:color w:val="000000"/>
          <w:sz w:val="21"/>
        </w:rPr>
        <w:t xml:space="preserve">的价格扣除。</w:t>
      </w:r>
      <w:r/>
    </w:p>
    <w:p>
      <w:pPr>
        <w:ind w:left="0" w:right="0" w:firstLine="420"/>
        <w:jc w:val="both"/>
        <w:spacing w:before="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7</w:t>
      </w:r>
      <w:r>
        <w:rPr>
          <w:rFonts w:ascii="宋体" w:hAnsi="宋体" w:eastAsia="宋体" w:cs="宋体"/>
          <w:color w:val="000000"/>
          <w:sz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Calibri" w:hAnsi="Calibri" w:eastAsia="Calibri" w:cs="Calibri"/>
          <w:color w:val="000000"/>
          <w:sz w:val="21"/>
        </w:rPr>
        <w:t xml:space="preserve">(</w:t>
      </w:r>
      <w:r>
        <w:rPr>
          <w:rFonts w:ascii="宋体" w:hAnsi="宋体" w:eastAsia="宋体" w:cs="宋体"/>
          <w:color w:val="000000"/>
          <w:sz w:val="21"/>
        </w:rPr>
        <w:t xml:space="preserve">由国家确定的认证机构出具的、处于有效期之内的节能产品、环境标志产品认证证书</w:t>
      </w:r>
      <w:r>
        <w:rPr>
          <w:rFonts w:ascii="Calibri" w:hAnsi="Calibri" w:eastAsia="Calibri" w:cs="Calibri"/>
          <w:color w:val="000000"/>
          <w:sz w:val="21"/>
        </w:rPr>
        <w:t xml:space="preserve">)</w:t>
      </w:r>
      <w:r>
        <w:rPr>
          <w:rFonts w:ascii="宋体" w:hAnsi="宋体" w:eastAsia="宋体" w:cs="宋体"/>
          <w:color w:val="000000"/>
          <w:sz w:val="21"/>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hint="eastAsia" w:cs="Courier New"/>
          <w:b/>
          <w:bCs/>
          <w:sz w:val="24"/>
        </w:rPr>
      </w:pPr>
      <w:r>
        <w:rPr>
          <w:rFonts w:hint="eastAsia" w:cs="Courier New"/>
          <w:b/>
          <w:bCs/>
          <w:sz w:val="24"/>
        </w:rPr>
      </w:r>
      <w:r/>
    </w:p>
    <w:p>
      <w:pPr>
        <w:spacing w:line="360" w:lineRule="auto"/>
        <w:rPr>
          <w:rFonts w:hint="eastAsia" w:cs="Courier New"/>
          <w:b/>
          <w:bCs/>
          <w:sz w:val="24"/>
        </w:rPr>
      </w:pPr>
      <w:r>
        <w:rPr>
          <w:rFonts w:hint="eastAsia" w:cs="Courier New"/>
          <w:b/>
          <w:bCs/>
          <w:sz w:val="24"/>
        </w:rPr>
        <w:t xml:space="preserve">评标标准</w:t>
      </w:r>
      <w:r/>
    </w:p>
    <w:tbl>
      <w:tblPr>
        <w:tblStyle w:val="672"/>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78"/>
        <w:gridCol w:w="788"/>
        <w:gridCol w:w="6299"/>
      </w:tblGrid>
      <w:tr>
        <w:trPr>
          <w:jc w:val="center"/>
          <w:trHeight w:val="444"/>
        </w:trPr>
        <w:tc>
          <w:tcPr>
            <w:tcW w:w="83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p>
        </w:tc>
        <w:tc>
          <w:tcPr>
            <w:tcW w:w="137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评审项目</w:t>
            </w:r>
            <w:r/>
          </w:p>
        </w:tc>
        <w:tc>
          <w:tcPr>
            <w:tcW w:w="78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c>
          <w:tcPr>
            <w:tcW w:w="63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评审内容</w:t>
            </w:r>
            <w:r/>
          </w:p>
        </w:tc>
      </w:tr>
      <w:tr>
        <w:trPr>
          <w:jc w:val="center"/>
          <w:trHeight w:val="1471"/>
        </w:trPr>
        <w:tc>
          <w:tcPr>
            <w:tcW w:w="83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p>
        </w:tc>
        <w:tc>
          <w:tcPr>
            <w:tcW w:w="137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价格</w:t>
            </w:r>
            <w:r/>
          </w:p>
        </w:tc>
        <w:tc>
          <w:tcPr>
            <w:tcW w:w="78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30分</w:t>
            </w:r>
            <w:r/>
          </w:p>
        </w:tc>
        <w:tc>
          <w:tcPr>
            <w:tcW w:w="6301"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i w:val="0"/>
                <w:iCs w:val="0"/>
                <w:color w:val="000000"/>
                <w:sz w:val="22"/>
                <w:szCs w:val="22"/>
                <w:lang w:bidi="ar"/>
              </w:rPr>
            </w:pPr>
            <w:r>
              <w:rPr>
                <w:rFonts w:hint="eastAsia" w:ascii="宋体" w:hAnsi="宋体" w:eastAsia="宋体" w:cs="宋体"/>
                <w:i w:val="0"/>
                <w:iCs w:val="0"/>
                <w:color w:val="000000"/>
                <w:sz w:val="22"/>
                <w:szCs w:val="22"/>
                <w:lang w:bidi="ar"/>
              </w:rPr>
              <w:t xml:space="preserve">1.有效投标报价：是指通过“投标文件初审”的投标人的经商务性评审（修正、小微企业扣除等）后的评标总价；</w:t>
            </w:r>
            <w:r/>
          </w:p>
          <w:p>
            <w:pPr>
              <w:numPr>
                <w:ilvl w:val="0"/>
                <w:numId w:val="0"/>
              </w:numPr>
              <w:keepLines w:val="0"/>
              <w:keepNext w:val="0"/>
              <w:pageBreakBefore w:val="0"/>
              <w:spacing w:line="288" w:lineRule="auto"/>
              <w:widowControl w:val="off"/>
              <w:rPr>
                <w:rFonts w:hint="eastAsia" w:ascii="宋体" w:hAnsi="宋体" w:eastAsia="宋体" w:cs="宋体"/>
                <w:i w:val="0"/>
                <w:iCs w:val="0"/>
                <w:color w:val="000000"/>
                <w:sz w:val="22"/>
                <w:szCs w:val="22"/>
                <w:lang w:bidi="ar"/>
              </w:rPr>
            </w:pPr>
            <w:r>
              <w:rPr>
                <w:rFonts w:hint="eastAsia" w:ascii="宋体" w:hAnsi="宋体" w:eastAsia="宋体" w:cs="宋体"/>
                <w:i w:val="0"/>
                <w:iCs w:val="0"/>
                <w:color w:val="000000"/>
                <w:sz w:val="22"/>
                <w:szCs w:val="22"/>
                <w:lang w:bidi="ar"/>
              </w:rPr>
              <w:t xml:space="preserve">2.评标基准价=有效投标报价中的最低投标报价；</w:t>
            </w:r>
            <w:r/>
          </w:p>
          <w:p>
            <w:pPr>
              <w:numPr>
                <w:ilvl w:val="0"/>
                <w:numId w:val="0"/>
              </w:numPr>
              <w:keepLines w:val="0"/>
              <w:keepNext w:val="0"/>
              <w:pageBreakBefore w:val="0"/>
              <w:spacing w:line="288" w:lineRule="auto"/>
              <w:widowControl w:val="off"/>
              <w:rPr>
                <w:rFonts w:hint="eastAsia" w:ascii="宋体" w:hAnsi="宋体" w:eastAsia="宋体" w:cs="宋体"/>
                <w:i w:val="0"/>
                <w:iCs w:val="0"/>
                <w:color w:val="000000"/>
                <w:sz w:val="22"/>
                <w:szCs w:val="22"/>
                <w:lang w:bidi="ar"/>
              </w:rPr>
            </w:pPr>
            <w:r>
              <w:rPr>
                <w:rFonts w:hint="eastAsia" w:ascii="宋体" w:hAnsi="宋体" w:eastAsia="宋体" w:cs="宋体"/>
                <w:i w:val="0"/>
                <w:iCs w:val="0"/>
                <w:color w:val="000000"/>
                <w:sz w:val="22"/>
                <w:szCs w:val="22"/>
                <w:lang w:bidi="ar"/>
              </w:rPr>
              <w:t xml:space="preserve">3.当投标人的评标总价等于评标基准价的得</w:t>
            </w:r>
            <w:r>
              <w:rPr>
                <w:rFonts w:hint="eastAsia" w:ascii="宋体" w:hAnsi="宋体" w:eastAsia="宋体" w:cs="宋体"/>
                <w:i w:val="0"/>
                <w:iCs w:val="0"/>
                <w:color w:val="000000"/>
                <w:sz w:val="22"/>
                <w:szCs w:val="22"/>
                <w:lang w:val="en-US" w:eastAsia="zh-CN" w:bidi="ar"/>
              </w:rPr>
              <w:t xml:space="preserve">3</w:t>
            </w:r>
            <w:r>
              <w:rPr>
                <w:rFonts w:hint="eastAsia" w:ascii="宋体" w:hAnsi="宋体" w:eastAsia="宋体" w:cs="宋体"/>
                <w:i w:val="0"/>
                <w:iCs w:val="0"/>
                <w:color w:val="000000"/>
                <w:sz w:val="22"/>
                <w:szCs w:val="22"/>
                <w:lang w:bidi="ar"/>
              </w:rPr>
              <w:t xml:space="preserve">0分；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i w:val="0"/>
                <w:iCs w:val="0"/>
                <w:color w:val="000000"/>
                <w:sz w:val="22"/>
                <w:szCs w:val="22"/>
                <w:lang w:bidi="ar"/>
              </w:rPr>
              <w:t xml:space="preserve">4.其他投标人的价格分按照下列公式计算：评标总价得分=（评标基准价/评标总价）*</w:t>
            </w:r>
            <w:r>
              <w:rPr>
                <w:rFonts w:hint="eastAsia" w:ascii="宋体" w:hAnsi="宋体" w:eastAsia="宋体" w:cs="宋体"/>
                <w:i w:val="0"/>
                <w:iCs w:val="0"/>
                <w:color w:val="000000"/>
                <w:sz w:val="22"/>
                <w:szCs w:val="22"/>
                <w:lang w:val="en-US" w:eastAsia="zh-CN" w:bidi="ar"/>
              </w:rPr>
              <w:t xml:space="preserve">3</w:t>
            </w:r>
            <w:r>
              <w:rPr>
                <w:rFonts w:hint="eastAsia" w:ascii="宋体" w:hAnsi="宋体" w:eastAsia="宋体" w:cs="宋体"/>
                <w:i w:val="0"/>
                <w:iCs w:val="0"/>
                <w:color w:val="000000"/>
                <w:sz w:val="22"/>
                <w:szCs w:val="22"/>
                <w:lang w:bidi="ar"/>
              </w:rPr>
              <w:t xml:space="preserve">0分（计算结果保留2位小数，第三位四舍五入）。</w:t>
            </w:r>
            <w:r/>
          </w:p>
        </w:tc>
      </w:tr>
      <w:tr>
        <w:trPr>
          <w:jc w:val="center"/>
          <w:trHeight w:val="1471"/>
        </w:trPr>
        <w:tc>
          <w:tcPr>
            <w:tcW w:w="83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137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3"/>
                <w:sz w:val="21"/>
                <w:szCs w:val="21"/>
                <w:lang w:val="en-US" w:eastAsia="zh-CN"/>
              </w:rPr>
              <w:t xml:space="preserve">产品</w:t>
            </w:r>
            <w:r>
              <w:rPr>
                <w:rFonts w:hint="eastAsia" w:ascii="宋体" w:hAnsi="宋体" w:eastAsia="宋体" w:cs="宋体"/>
                <w:spacing w:val="-3"/>
                <w:sz w:val="21"/>
                <w:szCs w:val="21"/>
              </w:rPr>
              <w:t xml:space="preserve">技术</w:t>
            </w:r>
            <w:r>
              <w:rPr>
                <w:rFonts w:hint="eastAsia" w:ascii="宋体" w:hAnsi="宋体" w:eastAsia="宋体" w:cs="宋体"/>
                <w:spacing w:val="-3"/>
                <w:sz w:val="21"/>
                <w:szCs w:val="21"/>
                <w:lang w:val="en-US" w:eastAsia="zh-CN"/>
              </w:rPr>
              <w:t xml:space="preserve">性能</w:t>
            </w:r>
            <w:r/>
          </w:p>
        </w:tc>
        <w:tc>
          <w:tcPr>
            <w:tcW w:w="788" w:type="dxa"/>
            <w:vAlign w:val="center"/>
            <w:textDirection w:val="lrTb"/>
            <w:noWrap w:val="false"/>
          </w:tcPr>
          <w:p>
            <w:pPr>
              <w:jc w:val="cente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20分</w:t>
            </w:r>
            <w:r/>
          </w:p>
        </w:tc>
        <w:tc>
          <w:tcPr>
            <w:tcW w:w="6301"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评标委员会对投标人所投产品技术参数进行综合评定，全部响应招标文件“采购需求”要求得基本分20分，每负偏离一项扣1分，直至扣完为止。</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i w:val="0"/>
                <w:iCs w:val="0"/>
                <w:color w:val="000000"/>
                <w:sz w:val="22"/>
                <w:szCs w:val="22"/>
                <w:lang w:bidi="ar"/>
              </w:rPr>
              <w:t xml:space="preserve">注</w:t>
            </w:r>
            <w:r>
              <w:rPr>
                <w:rFonts w:hint="eastAsia" w:ascii="宋体" w:hAnsi="宋体" w:eastAsia="宋体" w:cs="宋体"/>
                <w:i w:val="0"/>
                <w:iCs w:val="0"/>
                <w:color w:val="000000"/>
                <w:sz w:val="22"/>
                <w:szCs w:val="22"/>
                <w:lang w:eastAsia="zh-CN" w:bidi="ar"/>
              </w:rPr>
              <w:t xml:space="preserve">：</w:t>
            </w:r>
            <w:r>
              <w:rPr>
                <w:rFonts w:hint="eastAsia" w:ascii="宋体" w:hAnsi="宋体" w:eastAsia="宋体" w:cs="宋体"/>
                <w:i w:val="0"/>
                <w:iCs w:val="0"/>
                <w:color w:val="000000"/>
                <w:sz w:val="22"/>
                <w:szCs w:val="22"/>
                <w:lang w:bidi="ar"/>
              </w:rPr>
              <w:t xml:space="preserve">《技术参数响应偏离表》中的内容须是投标人投标产品的真实反映，投标人在投标时不得虚假响应和虚假承诺，否则将取消其投标资格；已中标的，将取消其中标资格。</w:t>
            </w:r>
            <w:r/>
          </w:p>
        </w:tc>
      </w:tr>
      <w:tr>
        <w:trPr>
          <w:jc w:val="center"/>
          <w:trHeight w:val="2093"/>
        </w:trPr>
        <w:tc>
          <w:tcPr>
            <w:tcW w:w="839" w:type="dxa"/>
            <w:vAlign w:val="center"/>
            <w:textDirection w:val="lrTb"/>
            <w:noWrap w:val="false"/>
          </w:tcPr>
          <w:p>
            <w:pPr>
              <w:numPr>
                <w:ilvl w:val="0"/>
                <w:numId w:val="0"/>
              </w:num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p>
        </w:tc>
        <w:tc>
          <w:tcPr>
            <w:tcW w:w="1378"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安全保障措施管理措施方案</w:t>
            </w:r>
            <w:r/>
          </w:p>
        </w:tc>
        <w:tc>
          <w:tcPr>
            <w:tcW w:w="78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W w:w="6301" w:type="dxa"/>
            <w:vAlign w:val="center"/>
            <w:textDirection w:val="lrTb"/>
            <w:noWrap w:val="false"/>
          </w:tcPr>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供应商应按照对项目的理解详细描述包括完善的安全保证体系、健全的安全管理制度及安全技术交底措施，人员的安全管理措施、安全操作规程及人员安全教育培训方案，方案内容详细且满足项目需求：</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①提供的方案能够完全符合对本项目实施内容的理解和采购需求，得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②提供的方案基本满足本项目实施内容且提供的内容符合项目需求，得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③提供的方案简单，或方案</w:t>
            </w:r>
            <w:r>
              <w:rPr>
                <w:rFonts w:hint="eastAsia" w:ascii="宋体" w:hAnsi="宋体" w:eastAsia="宋体" w:cs="宋体"/>
                <w:color w:val="000000"/>
                <w:szCs w:val="21"/>
                <w:lang w:eastAsia="zh-CN"/>
              </w:rPr>
              <w:t xml:space="preserve">未能全部满足采购需求的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p>
          <w:p>
            <w:pPr>
              <w:spacing w:line="3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Cs w:val="21"/>
              </w:rPr>
              <w:t xml:space="preserve">④提供的方案存在遗漏或缺项，或与实际情况有重大偏差，或未提供，得0分。</w:t>
            </w:r>
            <w:r/>
          </w:p>
        </w:tc>
      </w:tr>
      <w:tr>
        <w:trPr>
          <w:jc w:val="center"/>
          <w:trHeight w:val="547"/>
        </w:trPr>
        <w:tc>
          <w:tcPr>
            <w:tcW w:w="839" w:type="dxa"/>
            <w:vAlign w:val="center"/>
            <w:textDirection w:val="lrTb"/>
            <w:noWrap w:val="false"/>
          </w:tcPr>
          <w:p>
            <w:pPr>
              <w:numPr>
                <w:ilvl w:val="0"/>
                <w:numId w:val="0"/>
              </w:num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p>
        </w:tc>
        <w:tc>
          <w:tcPr>
            <w:tcW w:w="1378"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货物安装调试方案 </w:t>
            </w:r>
            <w:r/>
          </w:p>
        </w:tc>
        <w:tc>
          <w:tcPr>
            <w:tcW w:w="78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W w:w="6301" w:type="dxa"/>
            <w:vAlign w:val="top"/>
            <w:textDirection w:val="lrTb"/>
            <w:noWrap w:val="false"/>
          </w:tcPr>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供应商应按要求提供厨房设备的实施方案，详细描述包括但不限于安装进度计划、设备调试及验收、人员投入计划、二次深化设计措施、质量保证措施、文明安装保证措施、环保施工方案等，以及项目在前期准备阶段、安装调试阶段提供的各项配合、协助措施等：</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①提供的方案能够完全符合对本项目实施内容的理解和采购需求，得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②提供的方案基本满足本项目实施内容且提供的内容符合项目需求，得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③提供的方案简单，或方案</w:t>
            </w:r>
            <w:r>
              <w:rPr>
                <w:rFonts w:hint="eastAsia" w:ascii="宋体" w:hAnsi="宋体" w:eastAsia="宋体" w:cs="宋体"/>
                <w:color w:val="000000"/>
                <w:szCs w:val="21"/>
                <w:lang w:eastAsia="zh-CN"/>
              </w:rPr>
              <w:t xml:space="preserve">未能全部满足采购需求的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Cs w:val="21"/>
              </w:rPr>
              <w:t xml:space="preserve">④提供的方案存在遗漏或缺项，或与实际情况有重大偏差，或未提供，得0分。</w:t>
            </w:r>
            <w:r/>
          </w:p>
        </w:tc>
      </w:tr>
      <w:tr>
        <w:trPr>
          <w:jc w:val="center"/>
          <w:trHeight w:val="1147"/>
        </w:trPr>
        <w:tc>
          <w:tcPr>
            <w:tcW w:w="839" w:type="dxa"/>
            <w:vAlign w:val="center"/>
            <w:textDirection w:val="lrTb"/>
            <w:noWrap w:val="false"/>
          </w:tcPr>
          <w:p>
            <w:pPr>
              <w:numPr>
                <w:ilvl w:val="0"/>
                <w:numId w:val="0"/>
              </w:num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p>
        </w:tc>
        <w:tc>
          <w:tcPr>
            <w:tcW w:w="1378"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培训方案 </w:t>
            </w:r>
            <w:r/>
          </w:p>
        </w:tc>
        <w:tc>
          <w:tcPr>
            <w:tcW w:w="78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W w:w="6301" w:type="dxa"/>
            <w:vAlign w:val="top"/>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投标人针对本项目制定的产品使用及维护培训方案，包括但不限于（1）培训时间、（2）培训人员安排、（3）培训内容、（4）培训管理。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①方案完整全面、条理清晰、合理可行，得10分；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②方案基本完整全面 、条理基本清晰、大部分合理可行，得7分；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③方案不够完整全面、条理不够清晰、少部分理可行，得4分；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④无相关描述或不合理不得分；</w:t>
            </w:r>
            <w:r/>
          </w:p>
        </w:tc>
      </w:tr>
      <w:tr>
        <w:trPr>
          <w:jc w:val="center"/>
          <w:trHeight w:val="712"/>
        </w:trPr>
        <w:tc>
          <w:tcPr>
            <w:tcW w:w="839" w:type="dxa"/>
            <w:vAlign w:val="center"/>
            <w:textDirection w:val="lrTb"/>
            <w:noWrap w:val="false"/>
          </w:tcPr>
          <w:p>
            <w:pPr>
              <w:numPr>
                <w:ilvl w:val="0"/>
                <w:numId w:val="0"/>
              </w:numPr>
              <w:jc w:val="cente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p>
        </w:tc>
        <w:tc>
          <w:tcPr>
            <w:tcW w:w="1378" w:type="dxa"/>
            <w:vAlign w:val="center"/>
            <w:textDirection w:val="lrTb"/>
            <w:noWrap w:val="false"/>
          </w:tcPr>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售后服务方案 </w:t>
            </w:r>
            <w:r/>
          </w:p>
        </w:tc>
        <w:tc>
          <w:tcPr>
            <w:tcW w:w="78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W w:w="6301" w:type="dxa"/>
            <w:vAlign w:val="top"/>
            <w:textDirection w:val="lrTb"/>
            <w:noWrap w:val="false"/>
          </w:tcPr>
          <w:p>
            <w:pPr>
              <w:spacing w:line="360" w:lineRule="exact"/>
              <w:widowControl/>
              <w:rPr>
                <w:rFonts w:ascii="宋体" w:hAnsi="宋体" w:eastAsia="宋体" w:cs="宋体"/>
                <w:color w:val="000000"/>
                <w:szCs w:val="21"/>
              </w:rPr>
            </w:pPr>
            <w:r>
              <w:rPr>
                <w:rFonts w:hint="eastAsia" w:ascii="宋体" w:hAnsi="宋体" w:cs="宋体"/>
                <w:color w:val="000000"/>
                <w:szCs w:val="21"/>
              </w:rPr>
              <w:t xml:space="preserve">供应商提供售后服务响应方案，包括但不限于一般故障响应修复时间、重大故障响应修复时间、更换或退货响应时间、零部件从预订至到货时间等；售后服务流程；售后服务人员配备及管理体系；应急保障措施；备品备件保障措施</w:t>
            </w:r>
            <w:r>
              <w:rPr>
                <w:rFonts w:hint="eastAsia" w:ascii="宋体" w:hAnsi="宋体" w:eastAsia="宋体" w:cs="宋体"/>
                <w:color w:val="000000"/>
                <w:szCs w:val="21"/>
              </w:rPr>
              <w:t xml:space="preserve">：</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①提供的方案能够完全符合对本项目实施内容的理解和采购需求，得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②提供的方案基本满足本项目实施内容且提供的内容符合项目需求，得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p>
          <w:p>
            <w:pPr>
              <w:spacing w:line="360" w:lineRule="exact"/>
              <w:widowControl/>
              <w:rPr>
                <w:rFonts w:ascii="宋体" w:hAnsi="宋体" w:eastAsia="宋体" w:cs="宋体"/>
                <w:color w:val="000000"/>
                <w:szCs w:val="21"/>
              </w:rPr>
            </w:pPr>
            <w:r>
              <w:rPr>
                <w:rFonts w:hint="eastAsia" w:ascii="宋体" w:hAnsi="宋体" w:eastAsia="宋体" w:cs="宋体"/>
                <w:color w:val="000000"/>
                <w:szCs w:val="21"/>
              </w:rPr>
              <w:t xml:space="preserve">③提供的方案简单，或方案</w:t>
            </w:r>
            <w:r>
              <w:rPr>
                <w:rFonts w:hint="eastAsia" w:ascii="宋体" w:hAnsi="宋体" w:eastAsia="宋体" w:cs="宋体"/>
                <w:color w:val="000000"/>
                <w:szCs w:val="21"/>
                <w:lang w:eastAsia="zh-CN"/>
              </w:rPr>
              <w:t xml:space="preserve">未能全部满足采购需求的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hAnsi="宋体" w:eastAsia="宋体"/>
                <w:sz w:val="21"/>
                <w:szCs w:val="21"/>
              </w:rPr>
              <w:t xml:space="preserve">④提供的方案存在遗漏或缺项，或与实际情况有重大偏差，或未提供，得0分。</w:t>
            </w:r>
            <w:r/>
          </w:p>
        </w:tc>
      </w:tr>
      <w:tr>
        <w:trPr>
          <w:jc w:val="center"/>
          <w:trHeight w:val="755"/>
        </w:trPr>
        <w:tc>
          <w:tcPr>
            <w:tcW w:w="839" w:type="dxa"/>
            <w:vAlign w:val="center"/>
            <w:textDirection w:val="lrTb"/>
            <w:noWrap w:val="false"/>
          </w:tcPr>
          <w:p>
            <w:pPr>
              <w:numPr>
                <w:ilvl w:val="0"/>
                <w:numId w:val="0"/>
              </w:numPr>
              <w:ind w:left="0" w:firstLine="0"/>
              <w:jc w:val="cente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p>
        </w:tc>
        <w:tc>
          <w:tcPr>
            <w:tcW w:w="137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企业业绩</w:t>
            </w:r>
            <w:r/>
          </w:p>
        </w:tc>
        <w:tc>
          <w:tcPr>
            <w:tcW w:w="788" w:type="dxa"/>
            <w:vAlign w:val="center"/>
            <w:textDirection w:val="lrTb"/>
            <w:noWrap w:val="false"/>
          </w:tcPr>
          <w:p>
            <w:pPr>
              <w:numPr>
                <w:ilvl w:val="0"/>
                <w:numId w:val="0"/>
              </w:numPr>
              <w:keepLines w:val="0"/>
              <w:keepNext w:val="0"/>
              <w:pageBreakBefore w:val="0"/>
              <w:spacing w:line="288"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W w:w="6301" w:type="dxa"/>
            <w:vAlign w:val="top"/>
            <w:textDirection w:val="lrTb"/>
            <w:noWrap w:val="false"/>
          </w:tcPr>
          <w:p>
            <w:pPr>
              <w:numPr>
                <w:ilvl w:val="0"/>
                <w:numId w:val="0"/>
              </w:numPr>
              <w:keepLines w:val="0"/>
              <w:keepNext w:val="0"/>
              <w:pageBreakBefore w:val="0"/>
              <w:spacing w:line="288" w:lineRule="auto"/>
              <w:widowControl w:val="off"/>
              <w:rPr>
                <w:rFonts w:ascii="宋体" w:hAnsi="宋体" w:cs="宋体"/>
                <w:color w:val="000000"/>
                <w:szCs w:val="21"/>
              </w:rPr>
            </w:pPr>
            <w:r>
              <w:rPr>
                <w:rFonts w:ascii="宋体" w:hAnsi="宋体" w:cs="宋体"/>
                <w:color w:val="000000"/>
                <w:szCs w:val="21"/>
              </w:rPr>
              <w:t xml:space="preserve">投标人承接并完成过</w:t>
            </w:r>
            <w:r>
              <w:rPr>
                <w:rFonts w:hint="eastAsia" w:ascii="宋体" w:hAnsi="宋体" w:cs="宋体"/>
                <w:color w:val="000000"/>
                <w:szCs w:val="21"/>
              </w:rPr>
              <w:t xml:space="preserve">类似</w:t>
            </w:r>
            <w:r>
              <w:rPr>
                <w:rFonts w:hint="eastAsia" w:ascii="宋体" w:hAnsi="宋体" w:eastAsia="宋体" w:cs="宋体"/>
                <w:color w:val="000000"/>
                <w:szCs w:val="21"/>
                <w:lang w:val="en-US" w:eastAsia="zh-CN"/>
              </w:rPr>
              <w:t xml:space="preserve">项目</w:t>
            </w:r>
            <w:r>
              <w:rPr>
                <w:rFonts w:ascii="宋体" w:hAnsi="宋体" w:cs="宋体"/>
                <w:color w:val="000000"/>
                <w:szCs w:val="21"/>
              </w:rPr>
              <w:t xml:space="preserve">业绩的，每提供一份业绩得</w:t>
            </w:r>
            <w:r>
              <w:rPr>
                <w:rFonts w:hint="eastAsia" w:ascii="宋体" w:hAnsi="宋体" w:cs="宋体"/>
                <w:color w:val="000000"/>
                <w:szCs w:val="21"/>
                <w:lang w:val="en-US" w:eastAsia="zh-CN"/>
              </w:rPr>
              <w:t xml:space="preserve">2</w:t>
            </w:r>
            <w:r>
              <w:rPr>
                <w:rFonts w:ascii="宋体" w:hAnsi="宋体" w:cs="宋体"/>
                <w:color w:val="000000"/>
                <w:szCs w:val="21"/>
              </w:rPr>
              <w:t xml:space="preserve">分，最高得</w:t>
            </w:r>
            <w:r>
              <w:rPr>
                <w:rFonts w:hint="eastAsia" w:ascii="宋体" w:hAnsi="宋体" w:cs="宋体"/>
                <w:color w:val="000000"/>
                <w:szCs w:val="21"/>
                <w:lang w:val="en-US" w:eastAsia="zh-CN"/>
              </w:rPr>
              <w:t xml:space="preserve">10</w:t>
            </w:r>
            <w:r>
              <w:rPr>
                <w:rFonts w:ascii="宋体" w:hAnsi="宋体" w:cs="宋体"/>
                <w:color w:val="000000"/>
                <w:szCs w:val="21"/>
              </w:rPr>
              <w:t xml:space="preserve">分，未提供不得分。</w:t>
            </w:r>
            <w:r/>
          </w:p>
          <w:p>
            <w:pPr>
              <w:numPr>
                <w:ilvl w:val="0"/>
                <w:numId w:val="0"/>
              </w:numPr>
              <w:keepLines w:val="0"/>
              <w:keepNext w:val="0"/>
              <w:pageBreakBefore w:val="0"/>
              <w:spacing w:line="288"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color w:val="auto"/>
                <w:szCs w:val="21"/>
                <w:lang w:val="en-US" w:eastAsia="zh-CN"/>
              </w:rPr>
              <w:t xml:space="preserve">注：投标文件中须提供业绩合同扫描件，未提供或提供不全不得分。</w:t>
            </w:r>
            <w:r/>
          </w:p>
        </w:tc>
      </w:tr>
    </w:tbl>
    <w:p>
      <w:pPr>
        <w:pStyle w:val="677"/>
        <w:rPr>
          <w:rFonts w:hint="eastAsia"/>
        </w:rPr>
      </w:pPr>
      <w:r>
        <w:rPr>
          <w:rFonts w:hint="eastAsia"/>
        </w:rPr>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both"/>
        <w:keepLines w:val="0"/>
        <w:keepNext w:val="0"/>
        <w:pageBreakBefore w:val="0"/>
        <w:spacing w:beforeAutospacing="0" w:afterAutospacing="0"/>
        <w:widowControl w:val="off"/>
        <w:rPr>
          <w:rFonts w:hint="eastAsia" w:ascii="黑体" w:hAnsi="宋体" w:eastAsia="黑体" w:cs="黑体"/>
          <w:sz w:val="44"/>
          <w:szCs w:val="44"/>
        </w:rPr>
      </w:pPr>
      <w:r>
        <w:rPr>
          <w:rFonts w:hint="eastAsia" w:ascii="黑体" w:hAnsi="宋体" w:eastAsia="黑体" w:cs="黑体"/>
          <w:sz w:val="44"/>
          <w:szCs w:val="44"/>
        </w:rPr>
      </w:r>
      <w:r/>
    </w:p>
    <w:p>
      <w:pPr>
        <w:pStyle w:val="695"/>
        <w:jc w:val="both"/>
        <w:keepLines w:val="0"/>
        <w:keepNext w:val="0"/>
        <w:pageBreakBefore w:val="0"/>
        <w:spacing w:beforeAutospacing="0" w:afterAutospacing="0"/>
        <w:widowControl w:val="off"/>
        <w:rPr>
          <w:rFonts w:hint="eastAsia" w:ascii="黑体" w:hAnsi="宋体" w:eastAsia="黑体" w:cs="黑体"/>
          <w:sz w:val="44"/>
          <w:szCs w:val="44"/>
        </w:rPr>
      </w:pPr>
      <w:r>
        <w:rPr>
          <w:rFonts w:hint="eastAsia" w:ascii="黑体" w:hAnsi="宋体" w:eastAsia="黑体" w:cs="黑体"/>
          <w:sz w:val="44"/>
          <w:szCs w:val="44"/>
        </w:rPr>
      </w:r>
      <w:r/>
    </w:p>
    <w:p>
      <w:pPr>
        <w:pStyle w:val="695"/>
        <w:jc w:val="both"/>
        <w:keepLines w:val="0"/>
        <w:keepNext w:val="0"/>
        <w:pageBreakBefore w:val="0"/>
        <w:spacing w:beforeAutospacing="0" w:afterAutospacing="0"/>
        <w:widowControl w:val="off"/>
        <w:rPr>
          <w:rFonts w:hint="eastAsia" w:ascii="黑体" w:hAnsi="宋体" w:eastAsia="黑体" w:cs="黑体"/>
          <w:sz w:val="44"/>
          <w:szCs w:val="44"/>
        </w:rPr>
      </w:pPr>
      <w:r>
        <w:rPr>
          <w:rFonts w:hint="eastAsia" w:ascii="黑体" w:hAnsi="宋体" w:eastAsia="黑体" w:cs="黑体"/>
          <w:sz w:val="44"/>
          <w:szCs w:val="44"/>
        </w:rPr>
      </w:r>
      <w:r/>
    </w:p>
    <w:p>
      <w:pPr>
        <w:pStyle w:val="695"/>
        <w:jc w:val="both"/>
        <w:keepLines w:val="0"/>
        <w:keepNext w:val="0"/>
        <w:pageBreakBefore w:val="0"/>
        <w:spacing w:beforeAutospacing="0" w:afterAutospacing="0"/>
        <w:widowControl w:val="off"/>
        <w:rPr>
          <w:rFonts w:hint="eastAsia" w:ascii="黑体" w:hAnsi="宋体" w:eastAsia="黑体" w:cs="黑体"/>
          <w:sz w:val="44"/>
          <w:szCs w:val="44"/>
        </w:rPr>
      </w:pPr>
      <w:r>
        <w:rPr>
          <w:rFonts w:hint="eastAsia" w:ascii="黑体" w:hAnsi="宋体" w:eastAsia="黑体" w:cs="黑体"/>
          <w:sz w:val="44"/>
          <w:szCs w:val="44"/>
        </w:rPr>
      </w:r>
      <w:r/>
    </w:p>
    <w:p>
      <w:pPr>
        <w:pStyle w:val="69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  投标文件格式</w:t>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5"/>
        <w:jc w:val="center"/>
        <w:spacing w:beforeAutospacing="0" w:afterAutospacing="0"/>
      </w:pPr>
      <w:r/>
      <w:bookmarkStart w:id="174" w:name="_Toc120614282"/>
      <w:r/>
      <w:bookmarkEnd w:id="174"/>
      <w:r/>
      <w:bookmarkStart w:id="175" w:name="_Toc49090576"/>
      <w:r/>
      <w:bookmarkEnd w:id="175"/>
      <w:r/>
      <w:bookmarkStart w:id="176" w:name="_Hlt26955039"/>
      <w:r/>
      <w:bookmarkStart w:id="177" w:name="_Hlt26671244"/>
      <w:r/>
      <w:bookmarkStart w:id="178" w:name="_Toc26554094"/>
      <w:r>
        <w:rPr>
          <w:rFonts w:hint="eastAsia" w:ascii="宋体" w:hAnsi="宋体" w:eastAsia="宋体" w:cs="宋体"/>
          <w:b/>
          <w:sz w:val="72"/>
          <w:szCs w:val="72"/>
        </w:rPr>
        <w:t xml:space="preserve">投  标  文  件</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r/>
    </w:p>
    <w:p>
      <w:pPr>
        <w:pStyle w:val="695"/>
        <w:jc w:val="center"/>
        <w:spacing w:beforeAutospacing="0" w:afterAutospacing="0"/>
      </w:pPr>
      <w:r/>
      <w:r/>
    </w:p>
    <w:p>
      <w:pPr>
        <w:pStyle w:val="695"/>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95"/>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95"/>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695"/>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line="0" w:lineRule="atLeast"/>
      </w:pPr>
      <w:r>
        <w:rPr>
          <w:rFonts w:hint="eastAsia" w:ascii="宋体" w:hAnsi="宋体" w:eastAsia="宋体" w:cs="宋体"/>
          <w:b/>
          <w:sz w:val="32"/>
          <w:szCs w:val="32"/>
        </w:rPr>
        <w:t xml:space="preserve">投标文件目录</w:t>
      </w:r>
      <w:r/>
    </w:p>
    <w:p>
      <w:pPr>
        <w:pStyle w:val="695"/>
        <w:jc w:val="center"/>
        <w:spacing w:beforeAutospacing="0" w:afterAutospacing="0" w:line="0" w:lineRule="atLeast"/>
      </w:pPr>
      <w:r>
        <w:t xml:space="preserve"> </w:t>
      </w:r>
      <w:r/>
    </w:p>
    <w:p>
      <w:pPr>
        <w:pStyle w:val="695"/>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iCs/>
        </w:rPr>
      </w:pPr>
      <w:r>
        <w:rPr>
          <w:rFonts w:hint="eastAsia" w:ascii="宋体" w:hAnsi="宋体" w:eastAsia="宋体" w:cs="宋体"/>
          <w:iCs/>
          <w:sz w:val="24"/>
        </w:rPr>
        <w:t xml:space="preserve">二、上一年度的财务状况报告</w:t>
      </w:r>
      <w:r>
        <w:rPr>
          <w:rFonts w:hint="eastAsia" w:ascii="宋体" w:hAnsi="宋体" w:eastAsia="宋体" w:cs="宋体"/>
          <w:iCs/>
          <w:lang w:eastAsia="zh-CN"/>
        </w:rPr>
        <w:t xml:space="preserve">（</w:t>
      </w:r>
      <w:r>
        <w:rPr>
          <w:rFonts w:hint="eastAsia" w:ascii="宋体" w:hAnsi="宋体" w:eastAsia="宋体" w:cs="宋体"/>
          <w:iCs/>
        </w:rPr>
        <w:t xml:space="preserve">投标人成立不满一年无需提供）</w:t>
      </w:r>
      <w:r/>
    </w:p>
    <w:p>
      <w:pPr>
        <w:pStyle w:val="69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95"/>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5"/>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695"/>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695"/>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695"/>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695"/>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695"/>
        <w:ind w:firstLine="480"/>
        <w:jc w:val="both"/>
        <w:spacing w:beforeAutospacing="0" w:afterAutospacing="0" w:line="0" w:lineRule="atLeast"/>
        <w:rPr>
          <w:iCs/>
        </w:rPr>
      </w:pPr>
      <w:r>
        <w:rPr>
          <w:rFonts w:hint="eastAsia" w:ascii="宋体" w:hAnsi="宋体" w:eastAsia="宋体" w:cs="宋体"/>
          <w:iCs/>
        </w:rPr>
        <w:t xml:space="preserve">十、残疾人福利性单位声明函</w:t>
      </w:r>
      <w:r/>
    </w:p>
    <w:p>
      <w:pPr>
        <w:pStyle w:val="695"/>
        <w:ind w:firstLine="480"/>
        <w:jc w:val="both"/>
        <w:spacing w:beforeAutospacing="0" w:afterAutospacing="0" w:line="0" w:lineRule="atLeast"/>
        <w:rPr>
          <w:iCs/>
        </w:rPr>
      </w:pPr>
      <w:r>
        <w:rPr>
          <w:rFonts w:hint="eastAsia" w:ascii="宋体" w:hAnsi="宋体" w:eastAsia="宋体" w:cs="宋体"/>
          <w:iCs/>
        </w:rPr>
        <w:t xml:space="preserve">十</w:t>
      </w:r>
      <w:r>
        <w:rPr>
          <w:rFonts w:hint="eastAsia" w:ascii="宋体" w:hAnsi="宋体" w:eastAsia="宋体" w:cs="宋体"/>
          <w:iCs/>
          <w:lang w:val="en-US" w:eastAsia="zh-CN"/>
        </w:rPr>
        <w:t xml:space="preserve">一</w:t>
      </w:r>
      <w:r>
        <w:rPr>
          <w:rFonts w:hint="eastAsia" w:ascii="宋体" w:hAnsi="宋体" w:eastAsia="宋体" w:cs="宋体"/>
          <w:iCs/>
        </w:rPr>
        <w:t xml:space="preserve">、投标分项报价表</w:t>
      </w:r>
      <w:r/>
    </w:p>
    <w:p>
      <w:pPr>
        <w:pStyle w:val="695"/>
        <w:ind w:firstLine="480"/>
        <w:jc w:val="both"/>
        <w:spacing w:beforeAutospacing="0" w:afterAutospacing="0" w:line="0" w:lineRule="atLeast"/>
        <w:rPr>
          <w:iCs/>
        </w:rPr>
      </w:pPr>
      <w:r>
        <w:rPr>
          <w:rFonts w:hint="eastAsia" w:ascii="宋体" w:hAnsi="宋体" w:eastAsia="宋体" w:cs="宋体"/>
          <w:iCs/>
        </w:rPr>
        <w:t xml:space="preserve">十</w:t>
      </w:r>
      <w:r>
        <w:rPr>
          <w:rFonts w:hint="eastAsia" w:ascii="宋体" w:hAnsi="宋体" w:eastAsia="宋体" w:cs="宋体"/>
          <w:iCs/>
          <w:lang w:val="en-US" w:eastAsia="zh-CN"/>
        </w:rPr>
        <w:t xml:space="preserve">二</w:t>
      </w:r>
      <w:r>
        <w:rPr>
          <w:rFonts w:hint="eastAsia" w:ascii="宋体" w:hAnsi="宋体" w:eastAsia="宋体" w:cs="宋体"/>
          <w:iCs/>
        </w:rPr>
        <w:t xml:space="preserve">、技术要求响应及偏离表</w:t>
      </w:r>
      <w:r/>
    </w:p>
    <w:p>
      <w:pPr>
        <w:pStyle w:val="695"/>
        <w:ind w:firstLine="480"/>
        <w:jc w:val="both"/>
        <w:spacing w:beforeAutospacing="0" w:afterAutospacing="0" w:line="0" w:lineRule="atLeast"/>
        <w:rPr>
          <w:iCs/>
        </w:rPr>
      </w:pPr>
      <w:r>
        <w:rPr>
          <w:rFonts w:hint="eastAsia" w:ascii="宋体" w:hAnsi="宋体" w:eastAsia="宋体" w:cs="宋体"/>
          <w:iCs/>
        </w:rPr>
        <w:t xml:space="preserve">十</w:t>
      </w:r>
      <w:r>
        <w:rPr>
          <w:rFonts w:hint="eastAsia" w:ascii="宋体" w:hAnsi="宋体" w:eastAsia="宋体" w:cs="宋体"/>
          <w:iCs/>
          <w:lang w:val="en-US" w:eastAsia="zh-CN"/>
        </w:rPr>
        <w:t xml:space="preserve">三</w:t>
      </w:r>
      <w:r>
        <w:rPr>
          <w:rFonts w:hint="eastAsia" w:ascii="宋体" w:hAnsi="宋体" w:eastAsia="宋体" w:cs="宋体"/>
          <w:iCs/>
        </w:rPr>
        <w:t xml:space="preserve">、商务要求响应及偏离表</w:t>
      </w:r>
      <w:r/>
    </w:p>
    <w:p>
      <w:pPr>
        <w:pStyle w:val="69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四</w:t>
      </w:r>
      <w:r>
        <w:rPr>
          <w:rFonts w:hint="eastAsia" w:ascii="宋体" w:hAnsi="宋体" w:eastAsia="宋体" w:cs="宋体"/>
          <w:iCs/>
        </w:rPr>
        <w:t xml:space="preserve">、开标一览表</w:t>
      </w:r>
      <w:r/>
    </w:p>
    <w:p>
      <w:pPr>
        <w:pStyle w:val="695"/>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w:t>
      </w:r>
      <w:r>
        <w:rPr>
          <w:rFonts w:hint="eastAsia" w:ascii="宋体" w:hAnsi="宋体" w:eastAsia="宋体" w:cs="宋体"/>
          <w:iCs/>
          <w:lang w:val="en-US" w:eastAsia="zh-CN"/>
        </w:rPr>
        <w:t xml:space="preserve">五</w:t>
      </w:r>
      <w:r>
        <w:rPr>
          <w:rFonts w:hint="eastAsia" w:ascii="宋体" w:hAnsi="宋体" w:eastAsia="宋体" w:cs="宋体"/>
          <w:iCs/>
        </w:rPr>
        <w:t xml:space="preserve">、盐城市政府采购事前信用承诺书</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jc w:val="both"/>
        <w:spacing w:beforeAutospacing="0" w:afterAutospacing="0" w:line="0" w:lineRule="atLeast"/>
      </w:pPr>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ind w:firstLine="480"/>
        <w:jc w:val="both"/>
        <w:spacing w:beforeAutospacing="0" w:afterAutospacing="0" w:line="0" w:lineRule="atLeast"/>
      </w:pPr>
      <w:r/>
      <w:r/>
    </w:p>
    <w:p>
      <w:pPr>
        <w:pStyle w:val="69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95"/>
        <w:ind w:firstLine="480"/>
        <w:jc w:val="both"/>
        <w:spacing w:beforeAutospacing="0" w:afterAutospacing="0" w:line="0" w:lineRule="atLeast"/>
      </w:pPr>
      <w:r>
        <w:t xml:space="preserve"> </w:t>
      </w:r>
      <w:r/>
    </w:p>
    <w:p>
      <w:pPr>
        <w:pStyle w:val="69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95"/>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95"/>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95"/>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695"/>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695"/>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5"/>
        <w:jc w:val="both"/>
        <w:spacing w:beforeAutospacing="0" w:afterAutospacing="0"/>
      </w:pPr>
      <w:r>
        <w:t xml:space="preserve"> </w:t>
      </w:r>
      <w:r/>
    </w:p>
    <w:p>
      <w:pPr>
        <w:pStyle w:val="69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95"/>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95"/>
        <w:jc w:val="center"/>
        <w:spacing w:beforeAutospacing="0" w:afterAutospacing="0"/>
        <w:rPr>
          <w:rFonts w:hint="eastAsia" w:ascii="黑体" w:hAnsi="宋体" w:eastAsia="黑体" w:cs="黑体"/>
          <w:i/>
          <w:sz w:val="32"/>
          <w:szCs w:val="32"/>
          <w:u w:val="single"/>
        </w:rPr>
      </w:pPr>
      <w:r/>
      <w:bookmarkStart w:id="179" w:name="_Toc120614284"/>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5"/>
        <w:jc w:val="center"/>
        <w:spacing w:beforeAutospacing="0" w:afterAutospacing="0"/>
      </w:pPr>
      <w:r>
        <w:rPr>
          <w:rFonts w:hint="eastAsia" w:ascii="黑体" w:hAnsi="宋体" w:eastAsia="黑体" w:cs="黑体"/>
          <w:i/>
          <w:sz w:val="32"/>
          <w:szCs w:val="32"/>
          <w:u w:val="single"/>
        </w:rPr>
        <w:t xml:space="preserve">七、法人授权书</w:t>
      </w:r>
      <w:r/>
    </w:p>
    <w:p>
      <w:pPr>
        <w:pStyle w:val="69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w:t>
      </w:r>
      <w:r>
        <w:rPr>
          <w:rFonts w:hint="eastAsia" w:ascii="Times New Roman" w:hAnsi="Times New Roman"/>
        </w:rPr>
        <w:t xml:space="preserve">JSZC-320922-YTGC-G2025-0037</w:t>
      </w:r>
      <w:r>
        <w:rPr>
          <w:rFonts w:ascii="Times New Roman" w:hAnsi="Times New Roman"/>
        </w:rPr>
        <w:t xml:space="preserve">号项目采购活动的合法代理人，以本单位名义全权处理一切与该项目采购有关的事务。</w:t>
      </w:r>
      <w:r/>
    </w:p>
    <w:p>
      <w:pPr>
        <w:pStyle w:val="69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69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695"/>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695"/>
        <w:ind w:firstLine="120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695"/>
        <w:ind w:firstLine="480"/>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695"/>
        <w:ind w:firstLine="480"/>
        <w:jc w:val="both"/>
        <w:spacing w:beforeAutospacing="0" w:afterAutospacing="0"/>
        <w:tabs>
          <w:tab w:val="left" w:pos="360" w:leader="none"/>
        </w:tabs>
      </w:pPr>
      <w:r>
        <w:rPr>
          <w:rFonts w:ascii="Times New Roman" w:hAnsi="Times New Roman"/>
        </w:rPr>
        <w:t xml:space="preserve">      日期：</w:t>
      </w:r>
      <w:bookmarkStart w:id="180" w:name="_Hlt26671380"/>
      <w:r/>
      <w:bookmarkStart w:id="181" w:name="_Hlt26955070"/>
      <w:r/>
      <w:bookmarkStart w:id="182" w:name="_格式3__银行出具的资信证明"/>
      <w:r>
        <w:rPr>
          <w:rFonts w:ascii="Times New Roman" w:hAnsi="Times New Roman"/>
          <w:u w:val="single"/>
        </w:rPr>
        <w:t xml:space="preserve">                                         </w:t>
      </w:r>
      <w:r/>
    </w:p>
    <w:p>
      <w:pPr>
        <w:pStyle w:val="695"/>
        <w:ind w:firstLine="420"/>
        <w:jc w:val="both"/>
        <w:spacing w:beforeAutospacing="0" w:afterAutospacing="0"/>
      </w:pPr>
      <w:r>
        <w:t xml:space="preserve"> </w:t>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val="0"/>
        <w:pageBreakBefore w:val="0"/>
        <w:spacing w:before="260" w:beforeAutospacing="0" w:after="260" w:afterAutospacing="0" w:line="416" w:lineRule="auto"/>
        <w:widowControl w:val="off"/>
        <w:rPr>
          <w:rFonts w:hint="eastAsia" w:ascii="宋体" w:hAnsi="宋体" w:eastAsia="宋体" w:cs="宋体"/>
          <w:b/>
        </w:rPr>
      </w:pPr>
      <w:r>
        <w:rPr>
          <w:rFonts w:hint="eastAsia" w:ascii="宋体" w:hAnsi="宋体" w:eastAsia="宋体" w:cs="宋体"/>
          <w:b/>
        </w:rPr>
      </w:r>
      <w:r/>
    </w:p>
    <w:p>
      <w:pPr>
        <w:pStyle w:val="695"/>
        <w:ind w:firstLine="3390"/>
        <w:jc w:val="both"/>
        <w:keepLines/>
        <w:keepNext/>
        <w:spacing w:before="260" w:beforeAutospacing="0" w:after="260" w:afterAutospacing="0" w:line="415" w:lineRule="auto"/>
        <w:rPr>
          <w:rFonts w:hint="eastAsia" w:ascii="宋体" w:hAnsi="宋体" w:eastAsia="宋体" w:cs="宋体"/>
          <w:b/>
        </w:rPr>
      </w:pPr>
      <w:r>
        <w:rPr>
          <w:rFonts w:hint="eastAsia" w:ascii="宋体" w:hAnsi="宋体" w:eastAsia="宋体" w:cs="宋体"/>
          <w:b/>
        </w:rPr>
      </w:r>
      <w:r/>
    </w:p>
    <w:p>
      <w:pPr>
        <w:pStyle w:val="695"/>
        <w:ind w:firstLine="3390"/>
        <w:jc w:val="both"/>
        <w:keepLines/>
        <w:keepNext/>
        <w:spacing w:before="260" w:beforeAutospacing="0" w:after="260" w:afterAutospacing="0" w:line="415" w:lineRule="auto"/>
      </w:pP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695"/>
        <w:spacing w:beforeAutospacing="0" w:afterAutospacing="0" w:line="0" w:lineRule="atLeast"/>
        <w:rPr>
          <w:rFonts w:hint="default" w:ascii="宋体" w:hAnsi="宋体" w:eastAsia="宋体" w:cs="宋体"/>
          <w:lang w:val="en-US" w:eastAsia="zh-CN"/>
        </w:rPr>
      </w:pPr>
      <w:r>
        <w:rPr>
          <w:rFonts w:hint="eastAsia" w:ascii="宋体" w:hAnsi="宋体" w:eastAsia="宋体" w:cs="宋体"/>
        </w:rPr>
        <w:t xml:space="preserve">致：滨海县</w:t>
      </w:r>
      <w:r>
        <w:rPr>
          <w:rFonts w:hint="eastAsia" w:ascii="宋体" w:hAnsi="宋体" w:eastAsia="宋体" w:cs="宋体"/>
          <w:lang w:val="en-US" w:eastAsia="zh-CN"/>
        </w:rPr>
        <w:t xml:space="preserve">退役军人事务局</w:t>
      </w:r>
      <w:r/>
    </w:p>
    <w:p>
      <w:pPr>
        <w:pStyle w:val="695"/>
        <w:ind w:firstLine="480"/>
        <w:spacing w:beforeAutospacing="0" w:afterAutospacing="0" w:line="0" w:lineRule="atLeast"/>
      </w:pPr>
      <w:r>
        <w:rPr>
          <w:rFonts w:hint="eastAsia" w:ascii="宋体" w:hAnsi="宋体" w:eastAsia="宋体" w:cs="宋体"/>
        </w:rPr>
        <w:t xml:space="preserve">根据贵方的JSZC-320922-YTGC-G2025-0037</w:t>
      </w:r>
      <w:bookmarkStart w:id="197" w:name="_GoBack"/>
      <w:r/>
      <w:bookmarkEnd w:id="197"/>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695"/>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695"/>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695"/>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695"/>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695"/>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695"/>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5"/>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5"/>
        <w:ind w:left="425"/>
        <w:spacing w:beforeAutospacing="0" w:afterAutospacing="0" w:line="0" w:lineRule="atLeast"/>
      </w:pPr>
      <w:r>
        <w:rPr>
          <w:rFonts w:hint="eastAsia" w:ascii="宋体" w:hAnsi="宋体" w:eastAsia="宋体" w:cs="宋体"/>
        </w:rPr>
        <w:t xml:space="preserve">7.与本投标有关的正式通讯地址为：</w:t>
      </w:r>
      <w:r/>
    </w:p>
    <w:p>
      <w:pPr>
        <w:pStyle w:val="695"/>
        <w:ind w:left="420" w:firstLine="480"/>
        <w:spacing w:beforeAutospacing="0" w:afterAutospacing="0" w:line="0" w:lineRule="atLeast"/>
      </w:pPr>
      <w:r>
        <w:rPr>
          <w:rFonts w:hint="eastAsia" w:ascii="宋体" w:hAnsi="宋体" w:eastAsia="宋体" w:cs="宋体"/>
        </w:rPr>
        <w:t xml:space="preserve">地          址：</w:t>
      </w:r>
      <w:r/>
    </w:p>
    <w:p>
      <w:pPr>
        <w:pStyle w:val="695"/>
        <w:ind w:left="420" w:firstLine="480"/>
        <w:spacing w:beforeAutospacing="0" w:afterAutospacing="0" w:line="0" w:lineRule="atLeast"/>
      </w:pPr>
      <w:r>
        <w:rPr>
          <w:rFonts w:hint="eastAsia" w:ascii="宋体" w:hAnsi="宋体" w:eastAsia="宋体" w:cs="宋体"/>
        </w:rPr>
        <w:t xml:space="preserve">邮          编：</w:t>
      </w:r>
      <w:r/>
    </w:p>
    <w:p>
      <w:pPr>
        <w:pStyle w:val="695"/>
        <w:ind w:left="420" w:firstLine="480"/>
        <w:spacing w:beforeAutospacing="0" w:afterAutospacing="0" w:line="0" w:lineRule="atLeast"/>
      </w:pPr>
      <w:r>
        <w:rPr>
          <w:rFonts w:hint="eastAsia" w:ascii="宋体" w:hAnsi="宋体" w:eastAsia="宋体" w:cs="宋体"/>
        </w:rPr>
        <w:t xml:space="preserve">电          话：</w:t>
      </w:r>
      <w:r/>
    </w:p>
    <w:p>
      <w:pPr>
        <w:pStyle w:val="695"/>
        <w:ind w:left="420" w:firstLine="480"/>
        <w:spacing w:beforeAutospacing="0" w:afterAutospacing="0" w:line="0" w:lineRule="atLeast"/>
      </w:pPr>
      <w:r>
        <w:rPr>
          <w:rFonts w:hint="eastAsia" w:ascii="宋体" w:hAnsi="宋体" w:eastAsia="宋体" w:cs="宋体"/>
        </w:rPr>
        <w:t xml:space="preserve">传          真：</w:t>
      </w:r>
      <w:r/>
    </w:p>
    <w:p>
      <w:pPr>
        <w:pStyle w:val="695"/>
        <w:ind w:left="420" w:firstLine="480"/>
        <w:spacing w:beforeAutospacing="0" w:afterAutospacing="0" w:line="0" w:lineRule="atLeast"/>
      </w:pPr>
      <w:r>
        <w:rPr>
          <w:rFonts w:hint="eastAsia" w:ascii="宋体" w:hAnsi="宋体" w:eastAsia="宋体" w:cs="宋体"/>
        </w:rPr>
        <w:t xml:space="preserve">投标人开户行：</w:t>
      </w:r>
      <w:r/>
    </w:p>
    <w:p>
      <w:pPr>
        <w:pStyle w:val="695"/>
        <w:ind w:left="420" w:firstLine="480"/>
        <w:spacing w:beforeAutospacing="0" w:afterAutospacing="0" w:line="0" w:lineRule="atLeast"/>
      </w:pPr>
      <w:r>
        <w:rPr>
          <w:rFonts w:hint="eastAsia" w:ascii="宋体" w:hAnsi="宋体" w:eastAsia="宋体" w:cs="宋体"/>
        </w:rPr>
        <w:t xml:space="preserve">账          号： </w:t>
      </w:r>
      <w:r/>
    </w:p>
    <w:p>
      <w:pPr>
        <w:pStyle w:val="695"/>
        <w:ind w:left="420" w:firstLine="480"/>
        <w:spacing w:beforeAutospacing="0" w:afterAutospacing="0" w:line="0" w:lineRule="atLeast"/>
      </w:pPr>
      <w:r>
        <w:rPr>
          <w:rFonts w:hint="eastAsia" w:ascii="宋体" w:hAnsi="宋体" w:eastAsia="宋体" w:cs="宋体"/>
        </w:rPr>
        <w:t xml:space="preserve">日           期：________年____月____日</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t xml:space="preserve"> </w:t>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r/>
    </w:p>
    <w:p>
      <w:pPr>
        <w:pStyle w:val="695"/>
        <w:ind w:firstLine="240"/>
        <w:jc w:val="center"/>
        <w:spacing w:beforeAutospacing="0" w:afterAutospacing="0" w:line="0" w:lineRule="atLeast"/>
      </w:pPr>
      <w:r>
        <w:t xml:space="preserve"> </w:t>
      </w:r>
      <w:r/>
    </w:p>
    <w:p>
      <w:pPr>
        <w:pStyle w:val="69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本公司（联合体）郑重声明，根据《政府采购促进中小企业发展管理办法》(财库〔2020〕46号)的规定，本公司（联合体）参加盐城市政府招标代理机构或招标人组织的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5"/>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5"/>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5"/>
        <w:ind w:firstLine="360"/>
        <w:jc w:val="both"/>
        <w:spacing w:beforeAutospacing="0" w:afterAutospacing="0" w:line="360" w:lineRule="auto"/>
      </w:pPr>
      <w:r>
        <w:rPr>
          <w:rFonts w:hint="eastAsia"/>
        </w:rPr>
        <w:t xml:space="preserve">……</w:t>
      </w:r>
      <w:r/>
    </w:p>
    <w:p>
      <w:pPr>
        <w:pStyle w:val="69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95"/>
        <w:ind w:right="720"/>
        <w:jc w:val="both"/>
        <w:spacing w:beforeAutospacing="0" w:afterAutospacing="0" w:line="360" w:lineRule="auto"/>
      </w:pPr>
      <w:r>
        <w:t xml:space="preserve"> </w:t>
      </w:r>
      <w:r/>
    </w:p>
    <w:p>
      <w:pPr>
        <w:pStyle w:val="695"/>
        <w:ind w:right="180" w:firstLine="360"/>
        <w:jc w:val="right"/>
        <w:spacing w:beforeAutospacing="0" w:afterAutospacing="0" w:line="360" w:lineRule="auto"/>
      </w:pPr>
      <w:r>
        <w:rPr>
          <w:rFonts w:hint="eastAsia"/>
        </w:rPr>
        <w:t xml:space="preserve">企业名称（加盖CA电子公章）：</w:t>
      </w:r>
      <w:r/>
    </w:p>
    <w:p>
      <w:pPr>
        <w:pStyle w:val="695"/>
        <w:ind w:right="480" w:firstLine="5400"/>
        <w:jc w:val="both"/>
        <w:spacing w:beforeAutospacing="0" w:afterAutospacing="0" w:line="360" w:lineRule="auto"/>
      </w:pPr>
      <w:r>
        <w:rPr>
          <w:rFonts w:hint="eastAsia"/>
        </w:rPr>
        <w:t xml:space="preserve">日  期：</w:t>
      </w:r>
      <w:r/>
    </w:p>
    <w:p>
      <w:pPr>
        <w:pStyle w:val="695"/>
        <w:ind w:firstLine="360"/>
        <w:jc w:val="both"/>
        <w:spacing w:beforeAutospacing="0" w:afterAutospacing="0" w:line="360" w:lineRule="auto"/>
      </w:pPr>
      <w:r>
        <w:t xml:space="preserve"> </w:t>
      </w:r>
      <w:r/>
    </w:p>
    <w:p>
      <w:pPr>
        <w:pStyle w:val="69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69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695"/>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95"/>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95"/>
        <w:ind w:firstLine="480"/>
        <w:jc w:val="both"/>
        <w:spacing w:beforeAutospacing="0" w:afterAutospacing="0" w:line="0" w:lineRule="atLeast"/>
      </w:pPr>
      <w:r>
        <w:t xml:space="preserve"> </w:t>
      </w:r>
      <w:r/>
    </w:p>
    <w:p>
      <w:pPr>
        <w:pStyle w:val="695"/>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5"/>
        <w:ind w:firstLine="624"/>
        <w:jc w:val="both"/>
        <w:spacing w:beforeAutospacing="0" w:afterAutospacing="0" w:line="0" w:lineRule="atLeast"/>
      </w:pPr>
      <w:r>
        <w:t xml:space="preserve"> </w:t>
      </w:r>
      <w:r/>
    </w:p>
    <w:p>
      <w:pPr>
        <w:pStyle w:val="69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95"/>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t xml:space="preserve"> </w:t>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jc w:val="center"/>
        <w:spacing w:beforeAutospacing="0" w:afterAutospacing="0" w:line="0" w:lineRule="atLeast"/>
      </w:pPr>
      <w:r/>
      <w:r/>
    </w:p>
    <w:p>
      <w:pPr>
        <w:pStyle w:val="695"/>
        <w:spacing w:beforeAutospacing="0" w:afterAutospacing="0" w:line="0" w:lineRule="atLeast"/>
      </w:pPr>
      <w:r/>
      <w:r/>
    </w:p>
    <w:p>
      <w:pPr>
        <w:pStyle w:val="695"/>
        <w:jc w:val="center"/>
        <w:spacing w:beforeAutospacing="0" w:afterAutospacing="0" w:line="0" w:lineRule="atLeast"/>
      </w:pPr>
      <w:r>
        <w:t xml:space="preserve"> </w:t>
      </w:r>
      <w:r/>
    </w:p>
    <w:p>
      <w:pPr>
        <w:pStyle w:val="695"/>
        <w:jc w:val="both"/>
        <w:spacing w:beforeAutospacing="0" w:afterAutospacing="0"/>
      </w:pPr>
      <w:r/>
      <w:r/>
    </w:p>
    <w:p>
      <w:pPr>
        <w:pStyle w:val="695"/>
        <w:jc w:val="both"/>
        <w:spacing w:beforeAutospacing="0" w:afterAutospacing="0"/>
      </w:pPr>
      <w:r/>
      <w:r/>
    </w:p>
    <w:p>
      <w:pPr>
        <w:pStyle w:val="695"/>
        <w:numPr>
          <w:ilvl w:val="0"/>
          <w:numId w:val="1"/>
        </w:numPr>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t xml:space="preserve">投标分项报价表</w:t>
      </w:r>
      <w:r/>
    </w:p>
    <w:p>
      <w:pPr>
        <w:pStyle w:val="873"/>
        <w:ind w:left="0" w:right="1470"/>
        <w:jc w:val="right"/>
        <w:rPr>
          <w:rFonts w:ascii="黑体" w:eastAsia="黑体"/>
        </w:rPr>
      </w:pPr>
      <w:r>
        <w:rPr>
          <w:rFonts w:ascii="黑体" w:eastAsia="黑体"/>
        </w:rPr>
      </w:r>
      <w:r/>
    </w:p>
    <w:p>
      <w:pPr>
        <w:pStyle w:val="873"/>
        <w:ind w:left="0" w:right="1470"/>
        <w:jc w:val="right"/>
        <w:rPr>
          <w:rFonts w:hint="eastAsia" w:ascii="黑体" w:hAnsi="宋体" w:eastAsia="黑体" w:cs="黑体"/>
          <w:b/>
          <w:sz w:val="32"/>
          <w:szCs w:val="32"/>
        </w:rPr>
      </w:pPr>
      <w:r>
        <w:rPr>
          <w:rFonts w:hint="eastAsia" w:ascii="黑体" w:eastAsia="黑体"/>
          <w:lang w:val="en-US" w:eastAsia="zh-CN"/>
        </w:rPr>
        <w:t xml:space="preserve">    </w:t>
      </w:r>
      <w:r>
        <w:rPr>
          <w:rFonts w:ascii="黑体" w:eastAsia="黑体"/>
        </w:rPr>
        <w:t xml:space="preserve">人民币：元</w:t>
      </w:r>
      <w:r/>
    </w:p>
    <w:tbl>
      <w:tblPr>
        <w:tblStyle w:val="672"/>
        <w:tblW w:w="9972" w:type="dxa"/>
        <w:tblInd w:w="-2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3"/>
        <w:gridCol w:w="1502"/>
        <w:gridCol w:w="3288"/>
        <w:gridCol w:w="864"/>
        <w:gridCol w:w="1284"/>
        <w:gridCol w:w="1104"/>
        <w:gridCol w:w="124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产品名称 </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所投产品品牌(或生产企业)及型号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主副食库</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5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低物架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7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粗加工</w:t>
            </w:r>
            <w:r/>
          </w:p>
        </w:tc>
      </w:tr>
      <w:tr>
        <w:trPr>
          <w:trHeight w:val="47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8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刀具砧板组合消毒柜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3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绞肉机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4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9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平台水池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清洗去皮机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50"/>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洗碗间</w:t>
            </w:r>
            <w:r/>
          </w:p>
        </w:tc>
      </w:tr>
      <w:tr>
        <w:trPr>
          <w:trHeight w:val="45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7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碗柜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5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0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3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隧道式洗碗机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气泡浸泡池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3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移动接餐台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接气罩</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特训餐具专用间</w:t>
            </w:r>
            <w:r/>
          </w:p>
        </w:tc>
      </w:tr>
      <w:tr>
        <w:trPr>
          <w:trHeight w:val="57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28"/>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面点主食间</w:t>
            </w:r>
            <w:r/>
          </w:p>
        </w:tc>
      </w:tr>
      <w:tr>
        <w:trPr>
          <w:trHeight w:val="48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9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6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3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和面机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4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ascii="仿宋_GB2312" w:hAnsi="宋体" w:eastAsia="仿宋_GB2312" w:cs="仿宋_GB2312"/>
                <w:i w:val="0"/>
                <w:iCs w:val="0"/>
                <w:color w:val="000000"/>
                <w:sz w:val="20"/>
                <w:szCs w:val="20"/>
                <w:u w:val="none"/>
              </w:rPr>
              <w:suppressLineNumbers w:val="0"/>
            </w:pPr>
            <w:r>
              <w:rPr>
                <w:rFonts w:hint="default"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6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木案工作台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8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auto"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万能蒸烤箱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8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柜式电饼档</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3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智能米饭机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4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电磁蒸包炉</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电自动炒菜机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UV油烟一体机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12.35</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13"/>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烹饪间</w:t>
            </w:r>
            <w:r/>
          </w:p>
        </w:tc>
      </w:tr>
      <w:tr>
        <w:trPr>
          <w:trHeight w:val="50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none" w:color="000000"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none" w:color="000000" w:sz="4" w:space="0"/>
              <w:left w:val="single" w:color="000000" w:sz="4" w:space="0"/>
              <w:bottom w:val="single" w:color="auto"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3C燃气大锅灶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auto"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7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3C燃气双炒双尾灶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auto"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3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电磁三门海鲜蒸柜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电磁炉低汤灶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四门冰箱</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9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单通打荷台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1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冷热水龙头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7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9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UV油烟一体机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2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24"/>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售饭间</w:t>
            </w:r>
            <w:r/>
          </w:p>
        </w:tc>
      </w:tr>
      <w:tr>
        <w:trPr>
          <w:trHeight w:val="561"/>
        </w:trPr>
        <w:tc>
          <w:tcPr>
            <w:shd w:val="clear" w:color="auto" w:fill="ffffff"/>
            <w:tcBorders>
              <w:top w:val="single" w:color="auto" w:sz="4" w:space="0"/>
              <w:left w:val="single" w:color="auto"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ffffff"/>
            <w:tcBorders>
              <w:top w:val="single" w:color="auto" w:sz="4" w:space="0"/>
              <w:left w:val="single" w:color="000000" w:sz="4" w:space="0"/>
              <w:bottom w:val="single" w:color="auto"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auto" w:sz="4" w:space="0"/>
              <w:left w:val="single" w:color="000000" w:sz="4" w:space="0"/>
              <w:bottom w:val="single" w:color="auto"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000000" w:sz="4" w:space="0"/>
              <w:bottom w:val="single" w:color="auto"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33"/>
        </w:trPr>
        <w:tc>
          <w:tcPr>
            <w:shd w:val="clear" w:color="auto" w:fill="ffffff"/>
            <w:tcBorders>
              <w:top w:val="single" w:color="auto"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ffffff"/>
            <w:tcBorders>
              <w:top w:val="single" w:color="auto"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auto"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auto"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8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6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单通打荷台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0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保温售菜柜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1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异性双层工作台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8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取筷机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81"/>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其他</w:t>
            </w:r>
            <w:r/>
          </w:p>
        </w:tc>
      </w:tr>
      <w:tr>
        <w:trPr>
          <w:trHeight w:val="57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消毒灯</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残菜柜</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32"/>
        </w:trPr>
        <w:tc>
          <w:tcPr>
            <w:gridSpan w:val="7"/>
            <w:shd w:val="clear" w:color="auto" w:fill="ffffff"/>
            <w:tcBorders>
              <w:top w:val="single" w:color="000000" w:sz="4" w:space="0"/>
              <w:left w:val="single" w:color="000000" w:sz="4" w:space="0"/>
              <w:bottom w:val="single" w:color="000000" w:sz="4" w:space="0"/>
              <w:right w:val="single" w:color="000000"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排风系统</w:t>
            </w:r>
            <w:r/>
          </w:p>
        </w:tc>
      </w:tr>
      <w:tr>
        <w:trPr>
          <w:trHeight w:val="67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油烟辅管道</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弯头管道</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9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弯头管道</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6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4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防震垫</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11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低噪音高压箱式风柜（二次增压）</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13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低噪音高压箱式风柜（二次增压）</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2"/>
        </w:trPr>
        <w:tc>
          <w:tcPr>
            <w:shd w:val="clear" w:color="auto" w:fill="ffffff"/>
            <w:tcBorders>
              <w:top w:val="single" w:color="000000" w:sz="4" w:space="0"/>
              <w:left w:val="single" w:color="000000"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auto"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风柜启动变频器</w:t>
            </w:r>
            <w:r/>
          </w:p>
        </w:tc>
        <w:tc>
          <w:tcPr>
            <w:shd w:val="clear" w:color="auto" w:fill="ffffff"/>
            <w:tcBorders>
              <w:top w:val="single" w:color="000000" w:sz="4" w:space="0"/>
              <w:left w:val="single" w:color="000000" w:sz="4" w:space="0"/>
              <w:bottom w:val="single" w:color="auto"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auto"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auto"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62"/>
        </w:trPr>
        <w:tc>
          <w:tcPr>
            <w:shd w:val="clear" w:color="auto" w:fill="ffffff"/>
            <w:tcBorders>
              <w:top w:val="single" w:color="auto" w:sz="4" w:space="0"/>
              <w:left w:val="single" w:color="auto"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auto" w:sz="4" w:space="0"/>
              <w:left w:val="single" w:color="000000" w:sz="4" w:space="0"/>
              <w:bottom w:val="single" w:color="auto"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风柜启动变频器</w:t>
            </w:r>
            <w:r/>
          </w:p>
        </w:tc>
        <w:tc>
          <w:tcPr>
            <w:shd w:val="clear" w:color="auto" w:fill="ffffff"/>
            <w:tcBorders>
              <w:top w:val="single" w:color="auto" w:sz="4" w:space="0"/>
              <w:left w:val="single" w:color="000000" w:sz="4" w:space="0"/>
              <w:bottom w:val="single" w:color="auto"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auto" w:sz="4" w:space="0"/>
              <w:left w:val="single" w:color="000000" w:sz="4" w:space="0"/>
              <w:bottom w:val="single" w:color="auto"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auto" w:sz="4" w:space="0"/>
              <w:left w:val="single" w:color="000000" w:sz="4" w:space="0"/>
              <w:bottom w:val="single" w:color="auto"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auto" w:sz="4" w:space="0"/>
              <w:left w:val="single" w:color="000000" w:sz="4" w:space="0"/>
              <w:bottom w:val="single" w:color="auto"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000000" w:sz="4" w:space="0"/>
              <w:bottom w:val="single" w:color="auto"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20"/>
        </w:trPr>
        <w:tc>
          <w:tcPr>
            <w:shd w:val="clear" w:color="auto" w:fill="ffffff"/>
            <w:tcBorders>
              <w:top w:val="single" w:color="auto" w:sz="4" w:space="0"/>
              <w:left w:val="single" w:color="000000" w:sz="4" w:space="0"/>
              <w:bottom w:val="single" w:color="auto"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auto" w:sz="4" w:space="0"/>
              <w:left w:val="single" w:color="000000" w:sz="4" w:space="0"/>
              <w:bottom w:val="single" w:color="auto"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安装辅材费</w:t>
            </w:r>
            <w:r/>
          </w:p>
        </w:tc>
        <w:tc>
          <w:tcPr>
            <w:shd w:val="clear" w:color="auto" w:fill="ffffff"/>
            <w:tcBorders>
              <w:top w:val="single" w:color="auto" w:sz="4" w:space="0"/>
              <w:left w:val="single" w:color="000000" w:sz="4" w:space="0"/>
              <w:bottom w:val="single" w:color="auto"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w:t>
            </w:r>
            <w:r/>
          </w:p>
        </w:tc>
        <w:tc>
          <w:tcPr>
            <w:shd w:val="clear" w:color="auto" w:fill="ffffff"/>
            <w:tcBorders>
              <w:top w:val="single" w:color="auto" w:sz="4" w:space="0"/>
              <w:left w:val="single" w:color="000000" w:sz="4" w:space="0"/>
              <w:bottom w:val="single" w:color="auto"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auto" w:sz="4" w:space="0"/>
              <w:left w:val="single" w:color="000000" w:sz="4" w:space="0"/>
              <w:bottom w:val="single" w:color="auto"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auto" w:sz="4" w:space="0"/>
              <w:left w:val="single" w:color="000000" w:sz="4" w:space="0"/>
              <w:bottom w:val="single" w:color="auto" w:sz="4" w:space="0"/>
              <w:right w:val="single" w:color="000000"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gridSpan w:val="7"/>
            <w:shd w:val="clear" w:color="auto" w:fill="ffffff"/>
            <w:tcBorders>
              <w:top w:val="single" w:color="000000" w:sz="4" w:space="0"/>
              <w:left w:val="single" w:color="auto" w:sz="4" w:space="0"/>
              <w:bottom w:val="single" w:color="000000" w:sz="4" w:space="0"/>
              <w:right w:val="single" w:color="auto" w:sz="4" w:space="0"/>
            </w:tcBorders>
            <w:tcW w:w="997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厨房杂件及餐具</w:t>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不锈钢餐盘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打菜集体吃不锈钢盆</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手打炒勺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不锈钢炒菜铲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平口料铲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不锈钢长柄勺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双耳不锈钢油隔</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不锈钢单柄漏勺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竹柄钢炸厘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竹柄密厘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计时器</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塑料圆砧板</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块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钢砧板围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不锈钢味盅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不锈钢味盅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不锈钢码斗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不锈钢码斗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红色挤瓶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黄色挤瓶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白色挤瓶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竹锅刷</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精制腰斗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香山秤</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电子港称 </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竹制馅挑</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木制擀面杖</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木制擀面杖</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通心锤</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长筷子</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双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打蛋器</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拔毛镊子</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压肉器</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长肉钩</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卡式枪头</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锅架连底座</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炒菜铁锅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炒菜铁锅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水勺 </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pStyle w:val="664"/>
              <w:ind w:left="0" w:right="0" w:firstLine="0"/>
              <w:jc w:val="left"/>
              <w:keepLines w:val="0"/>
              <w:keepNext w:val="0"/>
              <w:spacing w:before="156"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pStyle w:val="664"/>
              <w:ind w:left="0" w:right="0" w:firstLine="0"/>
              <w:jc w:val="left"/>
              <w:keepLines w:val="0"/>
              <w:keepNext w:val="0"/>
              <w:spacing w:before="156"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不锈钢夹</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室内挂墙温度计</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长柄调味勺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全刚菜刀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中式砍刀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文武刀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剥皮刀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剥丝刀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把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不锈钢刀盒</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不锈钢砧板架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削丝机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复合底不沾锅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肉叉</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个 </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塑料周转箱（五色）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pStyle w:val="664"/>
              <w:ind w:left="0" w:right="0" w:firstLine="0"/>
              <w:jc w:val="left"/>
              <w:keepLines w:val="0"/>
              <w:keepNext w:val="0"/>
              <w:spacing w:before="132" w:beforeAutospacing="0" w:after="72" w:afterAutospacing="0" w:line="360" w:lineRule="atLeast"/>
              <w:shd w:val="clear" w:color="auto" w:fill="ffffff"/>
              <w:widowControl/>
              <w:rPr>
                <w:rFonts w:hint="eastAsia" w:ascii="宋体" w:hAnsi="宋体" w:eastAsia="宋体" w:cs="宋体"/>
                <w:i w:val="0"/>
                <w:iCs w:val="0"/>
                <w:color w:val="000000"/>
                <w:sz w:val="20"/>
                <w:szCs w:val="20"/>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塑料壳眼筐（五色）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镂花纸垫</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百洁布</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炒菜手布</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卫生抹布</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default"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一次性手套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橡皮手套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r>
            <w:r/>
          </w:p>
        </w:tc>
      </w:tr>
      <w:tr>
        <w:trPr>
          <w:trHeight w:val="639"/>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喷火枪</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pStyle w:val="665"/>
              <w:ind w:left="0" w:right="0" w:firstLine="0"/>
              <w:jc w:val="left"/>
              <w:keepLines w:val="0"/>
              <w:keepNext w:val="0"/>
              <w:spacing w:before="0" w:beforeAutospacing="0" w:after="0" w:afterAutospacing="0"/>
              <w:shd w:val="clear" w:color="auto" w:fill="ffffff"/>
              <w:widowControl/>
              <w:rPr>
                <w:rFonts w:hint="eastAsia" w:ascii="宋体" w:hAnsi="宋体" w:eastAsia="宋体" w:cs="宋体"/>
                <w:b w:val="0"/>
                <w:bCs w:val="0"/>
                <w:i w:val="0"/>
                <w:iCs w:val="0"/>
                <w:color w:val="000000"/>
                <w:sz w:val="20"/>
                <w:szCs w:val="20"/>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pStyle w:val="665"/>
              <w:ind w:left="0" w:right="0" w:firstLine="0"/>
              <w:jc w:val="left"/>
              <w:keepLines w:val="0"/>
              <w:keepNext w:val="0"/>
              <w:spacing w:before="0" w:beforeAutospacing="0" w:after="0" w:afterAutospacing="0"/>
              <w:shd w:val="clear" w:color="auto" w:fill="ffffff"/>
              <w:widowControl/>
              <w:rPr>
                <w:rFonts w:hint="eastAsia" w:ascii="宋体" w:hAnsi="宋体" w:eastAsia="宋体" w:cs="宋体"/>
                <w:b w:val="0"/>
                <w:bCs w:val="0"/>
                <w:i w:val="0"/>
                <w:iCs w:val="0"/>
                <w:color w:val="000000"/>
                <w:sz w:val="20"/>
                <w:szCs w:val="20"/>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刀砖</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鱼鳞刨</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打饭铲</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pStyle w:val="673"/>
              <w:ind w:left="0" w:firstLine="0"/>
              <w:rPr>
                <w:rFonts w:hint="eastAsia" w:ascii="宋体" w:hAnsi="宋体" w:eastAsia="宋体" w:cs="宋体"/>
                <w:b w:val="0"/>
                <w:bCs w:val="0"/>
                <w:i w:val="0"/>
                <w:iCs w:val="0"/>
                <w:color w:val="000000"/>
                <w:sz w:val="20"/>
                <w:szCs w:val="20"/>
                <w:u w:val="none"/>
                <w:lang w:val="en-US" w:eastAsia="zh-CN"/>
              </w:rPr>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pStyle w:val="673"/>
              <w:ind w:left="0" w:firstLine="0"/>
              <w:rPr>
                <w:rFonts w:hint="eastAsia" w:ascii="宋体" w:hAnsi="宋体" w:eastAsia="宋体" w:cs="宋体"/>
                <w:b w:val="0"/>
                <w:bCs w:val="0"/>
                <w:i w:val="0"/>
                <w:iCs w:val="0"/>
                <w:color w:val="000000"/>
                <w:sz w:val="20"/>
                <w:szCs w:val="20"/>
                <w:u w:val="none"/>
                <w:lang w:val="en-US" w:eastAsia="zh-CN"/>
              </w:rPr>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一次性厨师帽</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透明防雾口罩</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防水围裙</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防水袖套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隔热手套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塑料扫帚+簸箕</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筷子消毒机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清洁球</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保鲜盒</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保鲜盒</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大包厢餐具</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冷菜盘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炒菜盘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汤碗</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鱼盘</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砂锅</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卡式炉</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高脚杯</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分酒器+小酒杯</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电子秤</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方头布拖把</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海绵拖把</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甩干拖把桶</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大桶洗洁精</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u w:val="none"/>
                <w:lang w:val="en-US" w:eastAsia="zh-CN"/>
              </w:rPr>
              <w:suppressLineNumbers w:val="0"/>
            </w:pPr>
            <w:r>
              <w:rPr>
                <w:rFonts w:hint="default"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硅胶屉布</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白色垃圾桶配残菜台</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rPr>
              <w:suppressLineNumbers w:val="0"/>
            </w:pPr>
            <w:r>
              <w:rPr>
                <w:rFonts w:hint="eastAsia" w:ascii="宋体" w:hAnsi="宋体" w:eastAsia="宋体" w:cs="宋体"/>
                <w:b w:val="0"/>
                <w:bCs w:val="0"/>
                <w:i w:val="0"/>
                <w:iCs w:val="0"/>
                <w:color w:val="000000"/>
                <w:sz w:val="20"/>
                <w:szCs w:val="20"/>
                <w:u w:val="none"/>
                <w:lang w:val="en-US" w:eastAsia="zh-CN"/>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洗碗机分配器</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洗碗机催干剂</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shd w:val="clear" w:color="auto" w:fill="ffffff"/>
            <w:tcBorders>
              <w:top w:val="single" w:color="000000" w:sz="4" w:space="0"/>
              <w:left w:val="single" w:color="auto" w:sz="4" w:space="0"/>
              <w:bottom w:val="single" w:color="000000" w:sz="4" w:space="0"/>
              <w:right w:val="single" w:color="000000" w:sz="4" w:space="0"/>
            </w:tcBorders>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洗碗机洗涤剂</w:t>
            </w:r>
            <w:r/>
          </w:p>
        </w:tc>
        <w:tc>
          <w:tcPr>
            <w:shd w:val="clear" w:color="auto" w:fill="ffffff"/>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auto" w:sz="4" w:space="0"/>
            </w:tcBorders>
            <w:tcW w:w="110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auto" w:sz="4" w:space="0"/>
            </w:tcBorders>
            <w:tcW w:w="12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40"/>
        </w:trPr>
        <w:tc>
          <w:tcPr>
            <w:gridSpan w:val="7"/>
            <w:shd w:val="clear" w:color="auto" w:fill="ffffff"/>
            <w:tcBorders>
              <w:top w:val="single" w:color="000000" w:sz="4" w:space="0"/>
              <w:left w:val="single" w:color="auto" w:sz="4" w:space="0"/>
              <w:bottom w:val="single" w:color="auto" w:sz="4" w:space="0"/>
              <w:right w:val="single" w:color="auto" w:sz="4" w:space="0"/>
            </w:tcBorders>
            <w:tcW w:w="9972" w:type="dxa"/>
            <w:vAlign w:val="center"/>
            <w:textDirection w:val="lrTb"/>
            <w:noWrap/>
          </w:tcPr>
          <w:p>
            <w:pPr>
              <w:jc w:val="righ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合计：     元</w:t>
            </w:r>
            <w:r/>
          </w:p>
        </w:tc>
      </w:tr>
    </w:tbl>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1、投标报价采用总承包方式，“投标总报价”应包括所投货物（包含与货物相关的服务）即主要包括（但不限于）：所投产品费用、直接和间接成本费、劳务费、清洁费、包装费、采购费、运杂费（含运输费）、装卸费（含上下力资）、保险费、保修费、管理费、安装费、调试费、两年质量保修期内维保、售后服务费、投标费用、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en-US"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en-US" w:bidi="ar"/>
        </w:rPr>
        <w:t xml:space="preserve">本项目采用固定全费用综合单价（即将所有费用均摊销至各综合单价中）。合同实施过程及结算时，中标的综合单价一律不作调整，按实际供货数量结算。</w:t>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3、“投标分项报价表”中“投标总报价”数额应当与“开标一览表”中“投标总报价”数额一致。</w:t>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en-US"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en-US" w:bidi="ar"/>
        </w:rPr>
        <w:t xml:space="preserve">中标后供货时，所有定制货物的颜色、式样、尺寸等需经采购人同意确认后方可定制。</w:t>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en-US" w:bidi="ar"/>
        </w:rPr>
        <w:suppressLineNumbers w:val="0"/>
      </w:pPr>
      <w:r>
        <w:rPr>
          <w:rFonts w:hint="eastAsia" w:ascii="宋体" w:hAnsi="宋体" w:eastAsia="宋体" w:cs="宋体"/>
          <w:i w:val="0"/>
          <w:iCs w:val="0"/>
          <w:color w:val="000000"/>
          <w:sz w:val="22"/>
          <w:szCs w:val="22"/>
          <w:u w:val="none"/>
          <w:lang w:val="en-US" w:eastAsia="en-US" w:bidi="ar"/>
        </w:rPr>
      </w:r>
      <w:r/>
    </w:p>
    <w:p>
      <w:pPr>
        <w:ind w:firstLine="440"/>
        <w:jc w:val="righ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firstLine="440"/>
        <w:jc w:val="righ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投标人全称（加盖公章）：</w:t>
      </w:r>
      <w:r/>
    </w:p>
    <w:p>
      <w:pPr>
        <w:ind w:firstLine="440"/>
        <w:jc w:val="righ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法定代表人或授权代表签字：</w:t>
      </w:r>
      <w:r/>
    </w:p>
    <w:p>
      <w:pPr>
        <w:ind w:firstLine="440"/>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日期：</w:t>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firstLine="440"/>
        <w:jc w:val="both"/>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r/>
    </w:p>
    <w:p>
      <w:pPr>
        <w:pStyle w:val="695"/>
        <w:jc w:val="both"/>
        <w:spacing w:beforeAutospacing="0" w:afterAutospacing="0"/>
      </w:pPr>
      <w:r/>
      <w:r/>
    </w:p>
    <w:p>
      <w:pPr>
        <w:pStyle w:val="695"/>
        <w:jc w:val="center"/>
        <w:spacing w:beforeAutospacing="0" w:afterAutospacing="0"/>
      </w:pPr>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二</w:t>
      </w:r>
      <w:r>
        <w:rPr>
          <w:rFonts w:hint="eastAsia" w:ascii="黑体" w:hAnsi="宋体" w:eastAsia="黑体" w:cs="黑体"/>
          <w:b/>
          <w:sz w:val="32"/>
          <w:szCs w:val="32"/>
        </w:rPr>
        <w:t xml:space="preserve">、技术要求响应及偏离表</w:t>
      </w:r>
      <w:r/>
    </w:p>
    <w:tbl>
      <w:tblPr>
        <w:tblStyle w:val="672"/>
        <w:tblW w:w="92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285"/>
        <w:gridCol w:w="1570"/>
        <w:gridCol w:w="1838"/>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rPr>
                <w:rFonts w:hint="eastAsia" w:ascii="宋体" w:hAnsi="宋体" w:eastAsia="宋体" w:cs="宋体"/>
                <w:color w:val="000000"/>
                <w:highlight w:val="none"/>
                <w:lang w:val="en-US" w:eastAsia="zh-CN"/>
              </w:rPr>
              <w:t xml:space="preserve">正偏离</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等同于</w:t>
            </w:r>
            <w:r>
              <w:rPr>
                <w:rFonts w:hint="eastAsia" w:ascii="宋体" w:hAnsi="宋体" w:eastAsia="宋体" w:cs="宋体"/>
                <w:color w:val="000000"/>
                <w:highlight w:val="none"/>
              </w:rPr>
              <w:t xml:space="preserve">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rPr>
                <w:rFonts w:hint="eastAsia" w:ascii="宋体" w:hAnsi="宋体" w:eastAsia="宋体" w:cs="宋体"/>
              </w:rPr>
              <w:t xml:space="preserve">证明</w:t>
            </w:r>
            <w:r/>
          </w:p>
          <w:p>
            <w:pPr>
              <w:pStyle w:val="695"/>
              <w:jc w:val="center"/>
              <w:spacing w:beforeAutospacing="0" w:afterAutospacing="0"/>
              <w:rPr>
                <w:rFonts w:hint="eastAsia" w:eastAsia="宋体"/>
                <w:lang w:eastAsia="zh-CN"/>
              </w:rPr>
            </w:pPr>
            <w:r>
              <w:rPr>
                <w:rFonts w:hint="eastAsia" w:ascii="宋体" w:hAnsi="宋体" w:eastAsia="宋体" w:cs="宋体"/>
              </w:rPr>
              <w:t xml:space="preserve">材料</w:t>
            </w:r>
            <w:r>
              <w:rPr>
                <w:rFonts w:hint="eastAsia" w:ascii="宋体" w:hAnsi="宋体" w:eastAsia="宋体" w:cs="宋体"/>
                <w:lang w:eastAsia="zh-CN"/>
              </w:rPr>
              <w:t xml:space="preserve">（</w:t>
            </w:r>
            <w:r>
              <w:rPr>
                <w:rFonts w:hint="eastAsia" w:ascii="宋体" w:hAnsi="宋体" w:eastAsia="宋体" w:cs="宋体"/>
                <w:lang w:val="en-US" w:eastAsia="zh-CN"/>
              </w:rPr>
              <w:t xml:space="preserve">如有</w:t>
            </w:r>
            <w:r>
              <w:rPr>
                <w:rFonts w:hint="eastAsia" w:ascii="宋体" w:hAnsi="宋体" w:eastAsia="宋体" w:cs="宋体"/>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695"/>
              <w:jc w:val="center"/>
              <w:spacing w:beforeAutospacing="0" w:afterAutospacing="0"/>
            </w:pPr>
            <w:r>
              <w:t xml:space="preserve"> </w:t>
            </w:r>
            <w:r/>
          </w:p>
        </w:tc>
      </w:tr>
    </w:tbl>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rPr>
        <w:t xml:space="preserve">行数不够，可自行添加。</w:t>
      </w:r>
      <w:r/>
    </w:p>
    <w:p>
      <w:pPr>
        <w:ind w:firstLine="480"/>
        <w:spacing w:line="440" w:lineRule="exact"/>
        <w:rPr>
          <w:rFonts w:hint="eastAsia" w:ascii="宋体" w:hAnsi="宋体" w:cs="仿宋"/>
          <w:sz w:val="24"/>
          <w:szCs w:val="24"/>
          <w:highlight w:val="none"/>
        </w:rPr>
      </w:pPr>
      <w:r>
        <w:rPr>
          <w:rFonts w:hint="eastAsia" w:ascii="宋体" w:hAnsi="宋体" w:eastAsia="宋体" w:cs="宋体"/>
          <w:color w:val="000000"/>
          <w:sz w:val="24"/>
          <w:szCs w:val="24"/>
          <w:highlight w:val="none"/>
          <w:lang w:val="en-US" w:eastAsia="zh-CN" w:bidi="ar-SA"/>
        </w:rPr>
        <w:t xml:space="preserve">2、对照招标文件第四章采购需求全部内容，如有“正偏离、等同于、负偏离”条款，须在上表中描述，如与招标文件要求的条款一致可不描述（不描述视为与招标文件一致）。</w:t>
      </w:r>
      <w:r/>
    </w:p>
    <w:p>
      <w:pPr>
        <w:pStyle w:val="695"/>
        <w:jc w:val="both"/>
        <w:spacing w:beforeAutospacing="0" w:afterAutospacing="0"/>
        <w:rPr>
          <w:rFonts w:hint="eastAsia" w:ascii="宋体" w:hAnsi="宋体" w:eastAsia="宋体" w:cs="宋体"/>
        </w:rPr>
      </w:pPr>
      <w:r>
        <w:rPr>
          <w:rFonts w:hint="eastAsia" w:ascii="宋体" w:hAnsi="宋体" w:eastAsia="宋体" w:cs="宋体"/>
        </w:rPr>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center"/>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t xml:space="preserve"> </w:t>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t xml:space="preserve"> </w:t>
      </w:r>
      <w:r/>
    </w:p>
    <w:p>
      <w:pPr>
        <w:pStyle w:val="695"/>
        <w:jc w:val="center"/>
        <w:spacing w:beforeAutospacing="0" w:afterAutospacing="0"/>
      </w:pPr>
      <w:r/>
      <w:bookmarkStart w:id="183" w:name="_Hlt26955054"/>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三</w:t>
      </w:r>
      <w:r>
        <w:rPr>
          <w:rFonts w:hint="eastAsia" w:ascii="黑体" w:hAnsi="宋体" w:eastAsia="黑体" w:cs="黑体"/>
          <w:b/>
          <w:sz w:val="32"/>
          <w:szCs w:val="32"/>
        </w:rPr>
        <w:t xml:space="preserve">、商务要求响应及偏离表</w:t>
      </w:r>
      <w:r/>
    </w:p>
    <w:tbl>
      <w:tblPr>
        <w:tblStyle w:val="672"/>
        <w:tblW w:w="902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369"/>
        <w:gridCol w:w="1486"/>
        <w:gridCol w:w="1610"/>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bookmarkStart w:id="184" w:name="_Hlt26609391"/>
            <w:r/>
            <w:bookmarkStart w:id="185" w:name="_Hlt26580838"/>
            <w:r/>
            <w:bookmarkStart w:id="186" w:name="_Hlt24879081"/>
            <w:r/>
            <w:bookmarkStart w:id="187" w:name="_Hlt26671372"/>
            <w:r/>
            <w:bookmarkStart w:id="188" w:name="_Hlt26671343"/>
            <w:r/>
            <w:bookmarkStart w:id="189" w:name="_Hlt26782999"/>
            <w:r/>
            <w:bookmarkStart w:id="190" w:name="_Hlt26955056"/>
            <w:r/>
            <w:bookmarkStart w:id="191" w:name="_Hlt26955064"/>
            <w:r>
              <w:rPr>
                <w:rFonts w:hint="eastAsia" w:ascii="宋体" w:hAnsi="宋体" w:eastAsia="宋体" w:cs="宋体"/>
              </w:rPr>
              <w:t xml:space="preserve">序号</w:t>
            </w:r>
            <w:bookmarkEnd w:id="184"/>
            <w:r/>
            <w:bookmarkEnd w:id="185"/>
            <w:r/>
            <w:bookmarkEnd w:id="186"/>
            <w:r/>
            <w:bookmarkEnd w:id="187"/>
            <w:r/>
            <w:bookmarkEnd w:id="188"/>
            <w:r/>
            <w:bookmarkEnd w:id="189"/>
            <w:r/>
            <w:bookmarkEnd w:id="190"/>
            <w:r/>
            <w:bookmarkEnd w:id="19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rPr>
                <w:rFonts w:hint="eastAsia" w:ascii="宋体" w:hAnsi="宋体" w:eastAsia="宋体" w:cs="宋体"/>
                <w:color w:val="000000"/>
                <w:sz w:val="24"/>
                <w:szCs w:val="24"/>
                <w:highlight w:val="none"/>
                <w:lang w:val="en-US" w:eastAsia="zh-CN" w:bidi="ar-SA"/>
              </w:rPr>
              <w:t xml:space="preserve">正偏离、等同于、负偏离</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both"/>
              <w:spacing w:beforeAutospacing="0" w:afterAutospacing="0"/>
              <w:rPr>
                <w:rFonts w:hint="eastAsia" w:eastAsia="宋体"/>
                <w:lang w:eastAsia="zh-CN"/>
              </w:rPr>
            </w:pPr>
            <w:r>
              <w:rPr>
                <w:rFonts w:hint="eastAsia" w:ascii="宋体" w:hAnsi="宋体" w:eastAsia="宋体" w:cs="宋体"/>
              </w:rPr>
              <w:t xml:space="preserve">证明材料</w:t>
            </w:r>
            <w:r>
              <w:rPr>
                <w:rFonts w:hint="eastAsia" w:ascii="宋体" w:hAnsi="宋体" w:eastAsia="宋体" w:cs="宋体"/>
                <w:lang w:eastAsia="zh-CN"/>
              </w:rPr>
              <w:t xml:space="preserve">（</w:t>
            </w:r>
            <w:r>
              <w:rPr>
                <w:rFonts w:hint="eastAsia" w:ascii="宋体" w:hAnsi="宋体" w:eastAsia="宋体" w:cs="宋体"/>
                <w:lang w:val="en-US" w:eastAsia="zh-CN"/>
              </w:rPr>
              <w:t xml:space="preserve">如有</w:t>
            </w:r>
            <w:r>
              <w:rPr>
                <w:rFonts w:hint="eastAsia" w:ascii="宋体" w:hAnsi="宋体" w:eastAsia="宋体" w:cs="宋体"/>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rFonts w:hint="eastAsia" w:eastAsia="宋体"/>
                <w:lang w:val="en-US" w:eastAsia="zh-CN"/>
              </w:rPr>
            </w:pPr>
            <w:r>
              <w:t xml:space="preserve"> </w:t>
            </w:r>
            <w:r>
              <w:rPr>
                <w:rFonts w:hint="eastAsia" w:eastAsia="宋体"/>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highlight w:val="none"/>
              </w:rPr>
              <w:t xml:space="preserve">质量保修期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两</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t xml:space="preserve"> </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rFonts w:hint="eastAsia" w:eastAsia="宋体"/>
                <w:lang w:val="en-US" w:eastAsia="zh-CN"/>
              </w:rPr>
            </w:pPr>
            <w:r>
              <w:t xml:space="preserve"> </w:t>
            </w:r>
            <w:r>
              <w:rPr>
                <w:rFonts w:hint="eastAsia" w:eastAsia="宋体"/>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rPr>
                <w:rFonts w:hint="eastAsia" w:ascii="宋体" w:hAnsi="宋体" w:cs="宋体"/>
                <w:b w:val="0"/>
                <w:bCs w:val="0"/>
                <w:sz w:val="24"/>
                <w:szCs w:val="24"/>
                <w:highlight w:val="none"/>
              </w:rPr>
              <w:t xml:space="preserve">供货期限（含安装调试工期）</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single"/>
                <w:lang w:val="en-US" w:eastAsia="zh-CN"/>
              </w:rPr>
              <w:t xml:space="preserve">30</w:t>
            </w:r>
            <w:r>
              <w:rPr>
                <w:rFonts w:hint="eastAsia" w:ascii="宋体" w:hAnsi="宋体" w:cs="宋体"/>
                <w:b w:val="0"/>
                <w:bCs w:val="0"/>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rPr>
                <w:rFonts w:hint="eastAsia" w:eastAsia="宋体"/>
                <w:lang w:val="en-US" w:eastAsia="zh-CN"/>
              </w:rPr>
              <w:t xml:space="preserve">3</w:t>
            </w: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b w:val="0"/>
                <w:bCs w:val="0"/>
                <w:highlight w:val="none"/>
                <w:lang w:val="en-US" w:eastAsia="zh-CN"/>
              </w:rPr>
              <w:t xml:space="preserve">合格</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rPr>
                <w:rFonts w:hint="eastAsia" w:eastAsia="宋体"/>
                <w:lang w:val="en-US" w:eastAsia="zh-CN"/>
              </w:rPr>
              <w:t xml:space="preserve">4</w:t>
            </w: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rFonts w:hint="eastAsia"/>
              </w:rPr>
            </w:pPr>
            <w:r>
              <w:rPr>
                <w:rFonts w:hint="eastAsia"/>
              </w:rPr>
              <w:t xml:space="preserve">预付款支付时间：合同签订后，预付款支付比例：合同金额的30%，（中标人须提供合同总价30%的预付款银行保函）。签订合同时，乙方书面明确表示无需预付款的，甲方可不支付预付款。</w:t>
            </w:r>
            <w:r/>
          </w:p>
          <w:p>
            <w:pPr>
              <w:pStyle w:val="695"/>
              <w:jc w:val="center"/>
              <w:spacing w:beforeAutospacing="0" w:afterAutospacing="0"/>
            </w:pPr>
            <w:r>
              <w:rPr>
                <w:rFonts w:hint="eastAsia"/>
              </w:rPr>
              <w:t xml:space="preserve">10.2尾款支付时间：中标人按要求将货物送到指定地点并完成安装调试，经采购人验收全部合格后付至合同款的80%;待验收合格满一年后并通过审计付至审计价的90%，余款待验收合格满两年后</w:t>
            </w:r>
            <w:r>
              <w:rPr>
                <w:rFonts w:hint="eastAsia" w:eastAsia="宋体"/>
                <w:lang w:val="en-US" w:eastAsia="zh-CN"/>
              </w:rPr>
              <w:t xml:space="preserve">按审计价</w:t>
            </w:r>
            <w:r>
              <w:rPr>
                <w:rFonts w:hint="eastAsia"/>
              </w:rPr>
              <w:t xml:space="preserve">结清。（如有违约扣款的，按实际情况在合同款中扣除）</w:t>
            </w:r>
            <w:r>
              <w:t xml:space="preserve"> </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rFonts w:hint="eastAsia" w:eastAsia="宋体"/>
                <w:lang w:val="en-US" w:eastAsia="zh-CN"/>
              </w:rPr>
            </w:pPr>
            <w:r>
              <w:t xml:space="preserve"> </w:t>
            </w:r>
            <w:r>
              <w:rPr>
                <w:rFonts w:hint="eastAsia" w:eastAsia="宋体"/>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cs="宋体"/>
                <w:b w:val="0"/>
                <w:bCs w:val="0"/>
                <w:sz w:val="24"/>
                <w:szCs w:val="24"/>
                <w:lang w:val="en-US" w:eastAsia="zh-CN"/>
              </w:rPr>
              <w:t xml:space="preserve">投标报价不得高于最高限价：190</w:t>
            </w:r>
            <w:r>
              <w:rPr>
                <w:rFonts w:hint="eastAsia" w:ascii="宋体" w:hAnsi="宋体" w:cs="宋体"/>
                <w:b w:val="0"/>
                <w:bCs w:val="0"/>
                <w:sz w:val="24"/>
                <w:szCs w:val="24"/>
              </w:rPr>
              <w:t xml:space="preserve">万元</w:t>
            </w:r>
            <w:r>
              <w:t xml:space="preserve"> </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rFonts w:hint="eastAsia" w:eastAsia="宋体"/>
                <w:lang w:val="en-US" w:eastAsia="zh-CN"/>
              </w:rPr>
            </w:pPr>
            <w:r>
              <w:t xml:space="preserve"> </w:t>
            </w:r>
            <w:r>
              <w:rPr>
                <w:rFonts w:hint="eastAsia" w:eastAsia="宋体"/>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rPr>
                <w:rFonts w:hint="eastAsia" w:ascii="宋体" w:hAnsi="宋体" w:eastAsia="宋体" w:cs="宋体"/>
                <w:b w:val="0"/>
                <w:bCs w:val="0"/>
                <w:highlight w:val="none"/>
                <w:lang w:val="en-US" w:eastAsia="zh-CN"/>
              </w:rPr>
              <w:t xml:space="preserve">投标有效期90日历天</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9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695"/>
              <w:jc w:val="center"/>
              <w:spacing w:beforeAutospacing="0" w:afterAutospacing="0"/>
            </w:pPr>
            <w:r>
              <w:t xml:space="preserve"> </w:t>
            </w:r>
            <w:r/>
          </w:p>
        </w:tc>
      </w:tr>
    </w:tbl>
    <w:p>
      <w:pPr>
        <w:pStyle w:val="87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注：行数不够，可自行添加。</w:t>
      </w:r>
      <w:r/>
    </w:p>
    <w:p>
      <w:pPr>
        <w:pStyle w:val="695"/>
        <w:jc w:val="both"/>
        <w:spacing w:beforeAutospacing="0" w:afterAutospacing="0"/>
      </w:pPr>
      <w:r/>
      <w:r/>
    </w:p>
    <w:p>
      <w:pPr>
        <w:pStyle w:val="695"/>
        <w:jc w:val="both"/>
        <w:spacing w:beforeAutospacing="0" w:afterAutospacing="0" w:line="480" w:lineRule="auto"/>
      </w:pPr>
      <w:r>
        <w:t xml:space="preserve"> </w:t>
      </w:r>
      <w:r/>
    </w:p>
    <w:p>
      <w:pPr>
        <w:pStyle w:val="695"/>
        <w:jc w:val="both"/>
        <w:spacing w:beforeAutospacing="0" w:afterAutospacing="0" w:line="480" w:lineRule="auto"/>
      </w:pPr>
      <w:r>
        <w:t xml:space="preserve"> </w:t>
      </w:r>
      <w:r/>
    </w:p>
    <w:p>
      <w:pPr>
        <w:pStyle w:val="695"/>
        <w:jc w:val="center"/>
        <w:spacing w:beforeAutospacing="0" w:afterAutospacing="0"/>
      </w:pPr>
      <w:r/>
      <w:bookmarkStart w:id="192" w:name="_格式2__法定代表人授权书"/>
      <w:r/>
      <w:bookmarkStart w:id="193" w:name="_Hlt26671374"/>
      <w:r/>
      <w:bookmarkStart w:id="194" w:name="_Hlt26609389"/>
      <w:r/>
      <w:bookmarkStart w:id="195" w:name="_Hlt26955066"/>
      <w:r/>
      <w:bookmarkStart w:id="196" w:name="_Toc462564146"/>
      <w:r>
        <w:t xml:space="preserve"> </w:t>
      </w:r>
      <w:r/>
    </w:p>
    <w:p>
      <w:pPr>
        <w:pStyle w:val="695"/>
        <w:jc w:val="both"/>
        <w:spacing w:beforeAutospacing="0" w:afterAutospacing="0"/>
      </w:pPr>
      <w:r>
        <w:t xml:space="preserve"> </w:t>
      </w:r>
      <w:r/>
    </w:p>
    <w:p>
      <w:pPr>
        <w:pStyle w:val="695"/>
        <w:jc w:val="center"/>
        <w:spacing w:beforeAutospacing="0" w:afterAutospacing="0"/>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lang w:val="en-US" w:eastAsia="zh-CN"/>
        </w:rPr>
        <w:t xml:space="preserve">四</w:t>
      </w:r>
      <w:r>
        <w:rPr>
          <w:rFonts w:hint="eastAsia" w:ascii="黑体" w:hAnsi="宋体" w:eastAsia="黑体" w:cs="黑体"/>
          <w:b/>
          <w:i/>
          <w:sz w:val="32"/>
          <w:szCs w:val="32"/>
          <w:u w:val="single"/>
        </w:rPr>
        <w:t xml:space="preserve">、开标一览表</w:t>
      </w:r>
      <w:r/>
    </w:p>
    <w:p>
      <w:pPr>
        <w:pStyle w:val="695"/>
        <w:ind w:firstLine="480"/>
        <w:jc w:val="both"/>
        <w:spacing w:beforeAutospacing="0" w:afterAutospacing="0"/>
      </w:pPr>
      <w:r>
        <w:rPr>
          <w:rFonts w:hint="eastAsia" w:ascii="宋体" w:hAnsi="宋体" w:eastAsia="宋体" w:cs="宋体"/>
        </w:rPr>
        <w:t xml:space="preserve">投标人全称（加盖CA电子签章）：</w:t>
      </w:r>
      <w:r/>
    </w:p>
    <w:p>
      <w:pPr>
        <w:pStyle w:val="695"/>
        <w:ind w:firstLine="480"/>
        <w:jc w:val="both"/>
        <w:spacing w:beforeAutospacing="0" w:afterAutospacing="0"/>
      </w:pPr>
      <w:r>
        <w:rPr>
          <w:rFonts w:hint="eastAsia" w:ascii="宋体" w:hAnsi="宋体" w:eastAsia="宋体" w:cs="宋体"/>
        </w:rPr>
        <w:t xml:space="preserve">项目名称：</w:t>
      </w:r>
      <w:r/>
    </w:p>
    <w:p>
      <w:pPr>
        <w:pStyle w:val="695"/>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tbl>
      <w:tblPr>
        <w:tblStyle w:val="67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pPr>
            <w:r>
              <w:rPr>
                <w:rFonts w:hint="eastAsia" w:ascii="宋体" w:hAnsi="宋体" w:eastAsia="宋体" w:cs="宋体"/>
              </w:rPr>
              <w:t xml:space="preserve">小写：                     （人民币：       元）</w:t>
            </w:r>
            <w:r/>
          </w:p>
        </w:tc>
      </w:tr>
    </w:tbl>
    <w:p>
      <w:pPr>
        <w:pStyle w:val="695"/>
        <w:jc w:val="both"/>
        <w:spacing w:beforeAutospacing="0" w:afterAutospacing="0"/>
        <w:rPr>
          <w:highlight w:val="none"/>
        </w:rPr>
      </w:pPr>
      <w:r>
        <w:t xml:space="preserve"> </w:t>
      </w:r>
      <w:r/>
    </w:p>
    <w:p>
      <w:pPr>
        <w:pStyle w:val="695"/>
        <w:jc w:val="both"/>
        <w:spacing w:beforeAutospacing="0" w:afterAutospacing="0"/>
      </w:pPr>
      <w:r/>
      <w:r/>
    </w:p>
    <w:p>
      <w:pPr>
        <w:pStyle w:val="695"/>
        <w:jc w:val="both"/>
        <w:spacing w:beforeAutospacing="0" w:afterAutospacing="0"/>
      </w:pPr>
      <w:r/>
      <w:r/>
    </w:p>
    <w:p>
      <w:pPr>
        <w:pStyle w:val="695"/>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95"/>
        <w:jc w:val="both"/>
        <w:spacing w:beforeAutospacing="0" w:afterAutospacing="0"/>
      </w:pPr>
      <w:r>
        <w:t xml:space="preserve"> </w:t>
      </w:r>
      <w:r/>
    </w:p>
    <w:p>
      <w:pPr>
        <w:pStyle w:val="695"/>
        <w:ind w:firstLine="480"/>
        <w:jc w:val="both"/>
        <w:spacing w:beforeAutospacing="0" w:afterAutospacing="0"/>
      </w:pPr>
      <w:r>
        <w:t xml:space="preserve"> </w:t>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ind w:firstLine="480"/>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r/>
    </w:p>
    <w:p>
      <w:pPr>
        <w:pStyle w:val="695"/>
        <w:jc w:val="both"/>
        <w:spacing w:beforeAutospacing="0" w:afterAutospacing="0"/>
      </w:pPr>
      <w:r>
        <w:t xml:space="preserve"> </w:t>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695"/>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695"/>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w:t>
      </w:r>
      <w:r>
        <w:rPr>
          <w:rFonts w:hint="eastAsia" w:ascii="宋体" w:hAnsi="宋体" w:eastAsia="宋体" w:cs="宋体"/>
          <w:sz w:val="32"/>
          <w:szCs w:val="32"/>
          <w:lang w:val="en-US" w:eastAsia="zh-CN"/>
        </w:rPr>
        <w:t xml:space="preserve">五</w:t>
      </w:r>
      <w:r>
        <w:rPr>
          <w:rFonts w:hint="eastAsia" w:ascii="宋体" w:hAnsi="宋体" w:eastAsia="宋体" w:cs="宋体"/>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787"/>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787"/>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righ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right"/>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righ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jc w:val="right"/>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3"/>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pStyle w:val="695"/>
        <w:jc w:val="center"/>
        <w:spacing w:beforeAutospacing="0" w:afterAutospacing="0"/>
      </w:p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95"/>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5"/>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9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5"/>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9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95"/>
        <w:spacing w:beforeAutospacing="0" w:afterAutospacing="0"/>
      </w:pPr>
      <w:r/>
      <w:r/>
    </w:p>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uiPriority w:val="0"/>
    <w:qFormat/>
    <w:pPr>
      <w:jc w:val="both"/>
      <w:widowControl w:val="off"/>
    </w:pPr>
    <w:rPr>
      <w:rFonts w:hint="default" w:asciiTheme="minorHAnsi" w:hAnsiTheme="minorHAnsi" w:eastAsiaTheme="minorEastAsia" w:cstheme="minorBidi"/>
      <w:sz w:val="21"/>
      <w:szCs w:val="24"/>
    </w:rPr>
  </w:style>
  <w:style w:type="paragraph" w:styleId="662">
    <w:name w:val="Heading 1"/>
    <w:basedOn w:val="661"/>
    <w:next w:val="661"/>
    <w:link w:val="704"/>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4">
    <w:name w:val="Heading 3"/>
    <w:basedOn w:val="661"/>
    <w:next w:val="661"/>
    <w:link w:val="706"/>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7"/>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8"/>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9"/>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11"/>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12"/>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customStyle="1">
    <w:name w:val="文本块11"/>
    <w:basedOn w:val="661"/>
    <w:uiPriority w:val="99"/>
    <w:unhideWhenUsed/>
    <w:qFormat/>
    <w:pPr>
      <w:ind w:left="1440"/>
      <w:spacing w:after="120"/>
    </w:pPr>
    <w:rPr>
      <w:rFonts w:hint="eastAsia"/>
      <w:sz w:val="21"/>
    </w:rPr>
  </w:style>
  <w:style w:type="paragraph" w:styleId="674">
    <w:name w:val="toc 7"/>
    <w:basedOn w:val="661"/>
    <w:next w:val="661"/>
    <w:uiPriority w:val="39"/>
    <w:unhideWhenUsed/>
    <w:qFormat/>
    <w:pPr>
      <w:ind w:left="1701" w:right="0" w:firstLine="0"/>
      <w:spacing w:after="57"/>
    </w:pPr>
  </w:style>
  <w:style w:type="paragraph" w:styleId="675">
    <w:name w:val="Caption"/>
    <w:basedOn w:val="661"/>
    <w:next w:val="6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6">
    <w:name w:val="annotation text"/>
    <w:basedOn w:val="661"/>
    <w:uiPriority w:val="0"/>
    <w:qFormat/>
    <w:pPr>
      <w:jc w:val="left"/>
    </w:pPr>
  </w:style>
  <w:style w:type="paragraph" w:styleId="677">
    <w:name w:val="Body Text"/>
    <w:basedOn w:val="661"/>
    <w:next w:val="661"/>
    <w:uiPriority w:val="0"/>
    <w:unhideWhenUsed/>
    <w:qFormat/>
    <w:pPr>
      <w:spacing w:after="120"/>
    </w:pPr>
    <w:rPr>
      <w:rFonts w:ascii="Calibri" w:hAnsi="Calibri"/>
      <w:szCs w:val="22"/>
    </w:rPr>
  </w:style>
  <w:style w:type="paragraph" w:styleId="678">
    <w:name w:val="Body Text Indent"/>
    <w:basedOn w:val="661"/>
    <w:next w:val="679"/>
    <w:uiPriority w:val="99"/>
    <w:qFormat/>
    <w:pPr>
      <w:ind w:left="420"/>
      <w:spacing w:after="120"/>
    </w:pPr>
    <w:rPr>
      <w:szCs w:val="20"/>
    </w:rPr>
  </w:style>
  <w:style w:type="paragraph" w:styleId="679">
    <w:name w:val="envelope return"/>
    <w:basedOn w:val="661"/>
    <w:uiPriority w:val="99"/>
    <w:unhideWhenUsed/>
    <w:qFormat/>
    <w:rPr>
      <w:rFonts w:ascii="Arial" w:hAnsi="Arial"/>
    </w:rPr>
  </w:style>
  <w:style w:type="paragraph" w:styleId="680">
    <w:name w:val="toc 5"/>
    <w:basedOn w:val="661"/>
    <w:next w:val="661"/>
    <w:uiPriority w:val="39"/>
    <w:unhideWhenUsed/>
    <w:qFormat/>
    <w:pPr>
      <w:ind w:left="1134" w:right="0" w:firstLine="0"/>
      <w:spacing w:after="57"/>
    </w:pPr>
  </w:style>
  <w:style w:type="paragraph" w:styleId="681">
    <w:name w:val="toc 3"/>
    <w:basedOn w:val="661"/>
    <w:next w:val="661"/>
    <w:uiPriority w:val="39"/>
    <w:unhideWhenUsed/>
    <w:qFormat/>
    <w:pPr>
      <w:ind w:left="567" w:right="0" w:firstLine="0"/>
      <w:spacing w:after="57"/>
    </w:pPr>
  </w:style>
  <w:style w:type="paragraph" w:styleId="682">
    <w:name w:val="Plain Text"/>
    <w:basedOn w:val="661"/>
    <w:uiPriority w:val="0"/>
    <w:unhideWhenUsed/>
    <w:qFormat/>
    <w:rPr>
      <w:rFonts w:ascii="宋体" w:hAnsi="Courier New" w:cs="Courier New"/>
      <w:szCs w:val="21"/>
    </w:rPr>
  </w:style>
  <w:style w:type="paragraph" w:styleId="683">
    <w:name w:val="toc 8"/>
    <w:basedOn w:val="661"/>
    <w:next w:val="661"/>
    <w:uiPriority w:val="39"/>
    <w:unhideWhenUsed/>
    <w:qFormat/>
    <w:pPr>
      <w:ind w:left="1984" w:right="0" w:firstLine="0"/>
      <w:spacing w:after="57"/>
    </w:pPr>
  </w:style>
  <w:style w:type="paragraph" w:styleId="684">
    <w:name w:val="endnote text"/>
    <w:basedOn w:val="661"/>
    <w:link w:val="849"/>
    <w:uiPriority w:val="99"/>
    <w:semiHidden/>
    <w:unhideWhenUsed/>
    <w:qFormat/>
    <w:pPr>
      <w:spacing w:after="0" w:line="240" w:lineRule="auto"/>
    </w:pPr>
    <w:rPr>
      <w:sz w:val="20"/>
    </w:rPr>
  </w:style>
  <w:style w:type="paragraph" w:styleId="685">
    <w:name w:val="Footer"/>
    <w:basedOn w:val="661"/>
    <w:link w:val="858"/>
    <w:uiPriority w:val="0"/>
    <w:qFormat/>
    <w:pPr>
      <w:jc w:val="left"/>
      <w:tabs>
        <w:tab w:val="center" w:pos="4153" w:leader="none"/>
        <w:tab w:val="right" w:pos="8306" w:leader="none"/>
      </w:tabs>
    </w:pPr>
    <w:rPr>
      <w:sz w:val="18"/>
      <w:szCs w:val="18"/>
    </w:rPr>
  </w:style>
  <w:style w:type="paragraph" w:styleId="686">
    <w:name w:val="Header"/>
    <w:basedOn w:val="661"/>
    <w:link w:val="857"/>
    <w:uiPriority w:val="0"/>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61"/>
    <w:next w:val="661"/>
    <w:uiPriority w:val="39"/>
    <w:unhideWhenUsed/>
    <w:qFormat/>
    <w:pPr>
      <w:ind w:left="0" w:right="0" w:firstLine="0"/>
      <w:spacing w:after="57"/>
    </w:pPr>
  </w:style>
  <w:style w:type="paragraph" w:styleId="688">
    <w:name w:val="toc 4"/>
    <w:basedOn w:val="661"/>
    <w:next w:val="661"/>
    <w:uiPriority w:val="39"/>
    <w:unhideWhenUsed/>
    <w:qFormat/>
    <w:pPr>
      <w:ind w:left="850" w:right="0" w:firstLine="0"/>
      <w:spacing w:after="57"/>
    </w:pPr>
  </w:style>
  <w:style w:type="paragraph" w:styleId="689">
    <w:name w:val="Subtitle"/>
    <w:basedOn w:val="661"/>
    <w:next w:val="661"/>
    <w:link w:val="715"/>
    <w:uiPriority w:val="11"/>
    <w:qFormat/>
    <w:pPr>
      <w:spacing w:before="200" w:after="200"/>
    </w:pPr>
    <w:rPr>
      <w:sz w:val="24"/>
      <w:szCs w:val="24"/>
    </w:rPr>
  </w:style>
  <w:style w:type="paragraph" w:styleId="690">
    <w:name w:val="footnote text"/>
    <w:basedOn w:val="661"/>
    <w:link w:val="848"/>
    <w:uiPriority w:val="99"/>
    <w:semiHidden/>
    <w:unhideWhenUsed/>
    <w:qFormat/>
    <w:pPr>
      <w:spacing w:after="40" w:line="240" w:lineRule="auto"/>
    </w:pPr>
    <w:rPr>
      <w:sz w:val="18"/>
    </w:rPr>
  </w:style>
  <w:style w:type="paragraph" w:styleId="691">
    <w:name w:val="toc 6"/>
    <w:basedOn w:val="661"/>
    <w:next w:val="661"/>
    <w:uiPriority w:val="39"/>
    <w:unhideWhenUsed/>
    <w:qFormat/>
    <w:pPr>
      <w:ind w:left="1417" w:right="0" w:firstLine="0"/>
      <w:spacing w:after="57"/>
    </w:pPr>
  </w:style>
  <w:style w:type="paragraph" w:styleId="692">
    <w:name w:val="table of figures"/>
    <w:basedOn w:val="661"/>
    <w:next w:val="661"/>
    <w:uiPriority w:val="99"/>
    <w:unhideWhenUsed/>
    <w:qFormat/>
    <w:pPr>
      <w:spacing w:after="0" w:afterAutospacing="0"/>
    </w:pPr>
  </w:style>
  <w:style w:type="paragraph" w:styleId="693">
    <w:name w:val="toc 2"/>
    <w:basedOn w:val="661"/>
    <w:next w:val="661"/>
    <w:uiPriority w:val="39"/>
    <w:unhideWhenUsed/>
    <w:qFormat/>
    <w:pPr>
      <w:ind w:left="283" w:right="0" w:firstLine="0"/>
      <w:spacing w:after="57"/>
    </w:pPr>
  </w:style>
  <w:style w:type="paragraph" w:styleId="694">
    <w:name w:val="toc 9"/>
    <w:basedOn w:val="661"/>
    <w:next w:val="661"/>
    <w:uiPriority w:val="39"/>
    <w:unhideWhenUsed/>
    <w:qFormat/>
    <w:pPr>
      <w:ind w:left="2268" w:right="0" w:firstLine="0"/>
      <w:spacing w:after="57"/>
    </w:pPr>
  </w:style>
  <w:style w:type="paragraph" w:styleId="695">
    <w:name w:val="Normal (Web)"/>
    <w:basedOn w:val="661"/>
    <w:uiPriority w:val="0"/>
    <w:qFormat/>
    <w:pPr>
      <w:jc w:val="left"/>
      <w:spacing w:beforeAutospacing="1" w:afterAutospacing="1"/>
    </w:pPr>
    <w:rPr>
      <w:rFonts w:cs="Times New Roman"/>
      <w:sz w:val="24"/>
    </w:rPr>
  </w:style>
  <w:style w:type="paragraph" w:styleId="696">
    <w:name w:val="Title"/>
    <w:basedOn w:val="661"/>
    <w:next w:val="661"/>
    <w:link w:val="714"/>
    <w:uiPriority w:val="10"/>
    <w:qFormat/>
    <w:pPr>
      <w:contextualSpacing/>
      <w:spacing w:before="300" w:after="200"/>
    </w:pPr>
    <w:rPr>
      <w:sz w:val="48"/>
      <w:szCs w:val="48"/>
    </w:rPr>
  </w:style>
  <w:style w:type="paragraph" w:styleId="697">
    <w:name w:val="Body Text First Indent"/>
    <w:basedOn w:val="677"/>
    <w:uiPriority w:val="0"/>
    <w:qFormat/>
    <w:pPr>
      <w:ind w:firstLine="420"/>
      <w:spacing w:line="440" w:lineRule="exact"/>
    </w:pPr>
    <w:rPr>
      <w:rFonts w:ascii="宋体" w:eastAsia="宋体"/>
      <w:sz w:val="24"/>
      <w:szCs w:val="28"/>
    </w:rPr>
  </w:style>
  <w:style w:type="paragraph" w:styleId="698">
    <w:name w:val="Body Text First Indent 2"/>
    <w:basedOn w:val="678"/>
    <w:next w:val="661"/>
    <w:uiPriority w:val="99"/>
    <w:qFormat/>
    <w:pPr>
      <w:ind w:left="0" w:firstLine="420"/>
      <w:spacing w:after="0" w:line="360" w:lineRule="auto"/>
    </w:pPr>
    <w:rPr>
      <w:szCs w:val="21"/>
    </w:rPr>
  </w:style>
  <w:style w:type="table" w:styleId="699">
    <w:name w:val="Table Grid"/>
    <w:basedOn w:val="67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basedOn w:val="671"/>
    <w:uiPriority w:val="22"/>
    <w:qFormat/>
    <w:rPr>
      <w:b/>
    </w:rPr>
  </w:style>
  <w:style w:type="character" w:styleId="701">
    <w:name w:val="endnote reference"/>
    <w:basedOn w:val="671"/>
    <w:uiPriority w:val="99"/>
    <w:semiHidden/>
    <w:unhideWhenUsed/>
    <w:qFormat/>
    <w:rPr>
      <w:vertAlign w:val="superscript"/>
    </w:rPr>
  </w:style>
  <w:style w:type="character" w:styleId="702">
    <w:name w:val="Hyperlink"/>
    <w:uiPriority w:val="99"/>
    <w:unhideWhenUsed/>
    <w:qFormat/>
    <w:rPr>
      <w:color w:val="0563c1" w:themeColor="hyperlink"/>
      <w:u w:val="single"/>
      <w14:textFill>
        <w14:solidFill>
          <w14:schemeClr w14:val="hlink"/>
        </w14:solidFill>
      </w14:textFill>
    </w:rPr>
  </w:style>
  <w:style w:type="character" w:styleId="703">
    <w:name w:val="footnote reference"/>
    <w:basedOn w:val="671"/>
    <w:uiPriority w:val="99"/>
    <w:unhideWhenUsed/>
    <w:qFormat/>
    <w:rPr>
      <w:vertAlign w:val="superscript"/>
    </w:rPr>
  </w:style>
  <w:style w:type="character" w:styleId="704" w:customStyle="1">
    <w:name w:val="Heading 1 Char"/>
    <w:basedOn w:val="671"/>
    <w:link w:val="662"/>
    <w:uiPriority w:val="9"/>
    <w:qFormat/>
    <w:rPr>
      <w:rFonts w:ascii="Arial" w:hAnsi="Arial" w:eastAsia="Arial" w:cs="Arial"/>
      <w:sz w:val="40"/>
      <w:szCs w:val="40"/>
    </w:rPr>
  </w:style>
  <w:style w:type="character" w:styleId="705" w:customStyle="1">
    <w:name w:val="Heading 2 Char"/>
    <w:basedOn w:val="671"/>
    <w:uiPriority w:val="9"/>
    <w:qFormat/>
    <w:rPr>
      <w:rFonts w:ascii="Arial" w:hAnsi="Arial" w:eastAsia="Arial" w:cs="Arial"/>
      <w:sz w:val="34"/>
    </w:rPr>
  </w:style>
  <w:style w:type="character" w:styleId="706" w:customStyle="1">
    <w:name w:val="Heading 3 Char"/>
    <w:basedOn w:val="671"/>
    <w:link w:val="664"/>
    <w:uiPriority w:val="9"/>
    <w:qFormat/>
    <w:rPr>
      <w:rFonts w:ascii="Arial" w:hAnsi="Arial" w:eastAsia="Arial" w:cs="Arial"/>
      <w:sz w:val="30"/>
      <w:szCs w:val="30"/>
    </w:rPr>
  </w:style>
  <w:style w:type="character" w:styleId="707" w:customStyle="1">
    <w:name w:val="Heading 4 Char"/>
    <w:basedOn w:val="671"/>
    <w:link w:val="665"/>
    <w:uiPriority w:val="9"/>
    <w:qFormat/>
    <w:rPr>
      <w:rFonts w:ascii="Arial" w:hAnsi="Arial" w:eastAsia="Arial" w:cs="Arial"/>
      <w:b/>
      <w:bCs/>
      <w:sz w:val="26"/>
      <w:szCs w:val="26"/>
    </w:rPr>
  </w:style>
  <w:style w:type="character" w:styleId="708" w:customStyle="1">
    <w:name w:val="Heading 5 Char"/>
    <w:basedOn w:val="671"/>
    <w:link w:val="666"/>
    <w:uiPriority w:val="9"/>
    <w:qFormat/>
    <w:rPr>
      <w:rFonts w:ascii="Arial" w:hAnsi="Arial" w:eastAsia="Arial" w:cs="Arial"/>
      <w:b/>
      <w:bCs/>
      <w:sz w:val="24"/>
      <w:szCs w:val="24"/>
    </w:rPr>
  </w:style>
  <w:style w:type="character" w:styleId="709" w:customStyle="1">
    <w:name w:val="Heading 6 Char"/>
    <w:basedOn w:val="671"/>
    <w:link w:val="667"/>
    <w:uiPriority w:val="9"/>
    <w:qFormat/>
    <w:rPr>
      <w:rFonts w:ascii="Arial" w:hAnsi="Arial" w:eastAsia="Arial" w:cs="Arial"/>
      <w:b/>
      <w:bCs/>
      <w:sz w:val="22"/>
      <w:szCs w:val="22"/>
    </w:rPr>
  </w:style>
  <w:style w:type="character" w:styleId="710" w:customStyle="1">
    <w:name w:val="Heading 7 Char"/>
    <w:basedOn w:val="671"/>
    <w:link w:val="668"/>
    <w:uiPriority w:val="9"/>
    <w:qFormat/>
    <w:rPr>
      <w:rFonts w:ascii="Arial" w:hAnsi="Arial" w:eastAsia="Arial" w:cs="Arial"/>
      <w:b/>
      <w:bCs/>
      <w:i/>
      <w:iCs/>
      <w:sz w:val="22"/>
      <w:szCs w:val="22"/>
    </w:rPr>
  </w:style>
  <w:style w:type="character" w:styleId="711" w:customStyle="1">
    <w:name w:val="Heading 8 Char"/>
    <w:basedOn w:val="671"/>
    <w:link w:val="669"/>
    <w:uiPriority w:val="9"/>
    <w:qFormat/>
    <w:rPr>
      <w:rFonts w:ascii="Arial" w:hAnsi="Arial" w:eastAsia="Arial" w:cs="Arial"/>
      <w:i/>
      <w:iCs/>
      <w:sz w:val="22"/>
      <w:szCs w:val="22"/>
    </w:rPr>
  </w:style>
  <w:style w:type="character" w:styleId="712" w:customStyle="1">
    <w:name w:val="Heading 9 Char"/>
    <w:basedOn w:val="671"/>
    <w:link w:val="670"/>
    <w:uiPriority w:val="9"/>
    <w:qFormat/>
    <w:rPr>
      <w:rFonts w:ascii="Arial" w:hAnsi="Arial" w:eastAsia="Arial" w:cs="Arial"/>
      <w:i/>
      <w:iCs/>
      <w:sz w:val="21"/>
      <w:szCs w:val="21"/>
    </w:rPr>
  </w:style>
  <w:style w:type="paragraph" w:styleId="713">
    <w:name w:val="List Paragraph"/>
    <w:basedOn w:val="661"/>
    <w:uiPriority w:val="34"/>
    <w:qFormat/>
    <w:pPr>
      <w:contextualSpacing/>
      <w:ind w:left="720"/>
    </w:pPr>
  </w:style>
  <w:style w:type="character" w:styleId="714" w:customStyle="1">
    <w:name w:val="Title Char"/>
    <w:basedOn w:val="671"/>
    <w:link w:val="696"/>
    <w:uiPriority w:val="10"/>
    <w:qFormat/>
    <w:rPr>
      <w:sz w:val="48"/>
      <w:szCs w:val="48"/>
    </w:rPr>
  </w:style>
  <w:style w:type="character" w:styleId="715" w:customStyle="1">
    <w:name w:val="Subtitle Char"/>
    <w:basedOn w:val="671"/>
    <w:link w:val="689"/>
    <w:uiPriority w:val="11"/>
    <w:qFormat/>
    <w:rPr>
      <w:sz w:val="24"/>
      <w:szCs w:val="24"/>
    </w:rPr>
  </w:style>
  <w:style w:type="paragraph" w:styleId="716">
    <w:name w:val="Quote"/>
    <w:basedOn w:val="661"/>
    <w:next w:val="661"/>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1"/>
    <w:next w:val="661"/>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basedOn w:val="671"/>
    <w:uiPriority w:val="99"/>
    <w:qFormat/>
  </w:style>
  <w:style w:type="character" w:styleId="721" w:customStyle="1">
    <w:name w:val="Footer Char"/>
    <w:basedOn w:val="671"/>
    <w:uiPriority w:val="99"/>
    <w:qFormat/>
  </w:style>
  <w:style w:type="character" w:styleId="722" w:customStyle="1">
    <w:name w:val="Caption Char"/>
    <w:uiPriority w:val="99"/>
    <w:qFormat/>
  </w:style>
  <w:style w:type="table" w:styleId="723" w:customStyle="1">
    <w:name w:val="Table Grid Light"/>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basedOn w:val="67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basedOn w:val="6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basedOn w:val="6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basedOn w:val="6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basedOn w:val="67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basedOn w:val="6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basedOn w:val="6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basedOn w:val="6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basedOn w:val="6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basedOn w:val="6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basedOn w:val="6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2" w:customStyle="1">
    <w:name w:val="Grid Table 2 - Accent 6"/>
    <w:basedOn w:val="6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3" w:customStyle="1">
    <w:name w:val="Grid Table 3"/>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basedOn w:val="6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basedOn w:val="6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basedOn w:val="6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basedOn w:val="6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basedOn w:val="6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basedOn w:val="6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basedOn w:val="67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2" w:customStyle="1">
    <w:name w:val="Grid Table 4 - Accent 2"/>
    <w:basedOn w:val="67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3" w:customStyle="1">
    <w:name w:val="Grid Table 4 - Accent 3"/>
    <w:basedOn w:val="67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4" w:customStyle="1">
    <w:name w:val="Grid Table 4 - Accent 4"/>
    <w:basedOn w:val="67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5" w:customStyle="1">
    <w:name w:val="Grid Table 4 - Accent 5"/>
    <w:basedOn w:val="67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6" w:customStyle="1">
    <w:name w:val="Grid Table 4 - Accent 6"/>
    <w:basedOn w:val="67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7" w:customStyle="1">
    <w:name w:val="Grid Table 5 Dark"/>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9" w:customStyle="1">
    <w:name w:val="Grid Table 5 Dark - Accent 2"/>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0" w:customStyle="1">
    <w:name w:val="Grid Table 5 Dark - Accent 3"/>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1" w:customStyle="1">
    <w:name w:val="Grid Table 5 Dark- Accent 4"/>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2" w:customStyle="1">
    <w:name w:val="Grid Table 5 Dark - Accent 5"/>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3" w:customStyle="1">
    <w:name w:val="Grid Table 5 Dark - Accent 6"/>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4" w:customStyle="1">
    <w:name w:val="Grid Table 6 Colorful"/>
    <w:basedOn w:val="6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basedOn w:val="67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6" w:customStyle="1">
    <w:name w:val="Grid Table 6 Colorful - Accent 2"/>
    <w:basedOn w:val="6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7" w:customStyle="1">
    <w:name w:val="Grid Table 6 Colorful - Accent 3"/>
    <w:basedOn w:val="67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8" w:customStyle="1">
    <w:name w:val="Grid Table 6 Colorful - Accent 4"/>
    <w:basedOn w:val="6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9" w:customStyle="1">
    <w:name w:val="Grid Table 6 Colorful - Accent 5"/>
    <w:basedOn w:val="67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6 Colorful - Accent 6"/>
    <w:basedOn w:val="67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Grid Table 7 Colorful"/>
    <w:basedOn w:val="6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basedOn w:val="67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basedOn w:val="67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basedOn w:val="67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basedOn w:val="67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basedOn w:val="67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basedOn w:val="67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basedOn w:val="6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basedOn w:val="67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0" w:customStyle="1">
    <w:name w:val="List Table 1 Light - Accent 2"/>
    <w:basedOn w:val="67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1" w:customStyle="1">
    <w:name w:val="List Table 1 Light - Accent 3"/>
    <w:basedOn w:val="67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2" w:customStyle="1">
    <w:name w:val="List Table 1 Light - Accent 4"/>
    <w:basedOn w:val="67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3" w:customStyle="1">
    <w:name w:val="List Table 1 Light - Accent 5"/>
    <w:basedOn w:val="67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List Table 1 Light - Accent 6"/>
    <w:basedOn w:val="67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List Table 2"/>
    <w:basedOn w:val="6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basedOn w:val="67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7" w:customStyle="1">
    <w:name w:val="List Table 2 - Accent 2"/>
    <w:basedOn w:val="67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8" w:customStyle="1">
    <w:name w:val="List Table 2 - Accent 3"/>
    <w:basedOn w:val="67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9" w:customStyle="1">
    <w:name w:val="List Table 2 - Accent 4"/>
    <w:basedOn w:val="67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0" w:customStyle="1">
    <w:name w:val="List Table 2 - Accent 5"/>
    <w:basedOn w:val="67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1" w:customStyle="1">
    <w:name w:val="List Table 2 - Accent 6"/>
    <w:basedOn w:val="67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2" w:customStyle="1">
    <w:name w:val="List Table 3"/>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basedOn w:val="67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3 - Accent 2"/>
    <w:basedOn w:val="6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5" w:customStyle="1">
    <w:name w:val="List Table 3 - Accent 3"/>
    <w:basedOn w:val="67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6" w:customStyle="1">
    <w:name w:val="List Table 3 - Accent 4"/>
    <w:basedOn w:val="6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7" w:customStyle="1">
    <w:name w:val="List Table 3 - Accent 5"/>
    <w:basedOn w:val="67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8" w:customStyle="1">
    <w:name w:val="List Table 3 - Accent 6"/>
    <w:basedOn w:val="67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9" w:customStyle="1">
    <w:name w:val="List Table 4"/>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basedOn w:val="67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4 - Accent 2"/>
    <w:basedOn w:val="67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2" w:customStyle="1">
    <w:name w:val="List Table 4 - Accent 3"/>
    <w:basedOn w:val="67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3" w:customStyle="1">
    <w:name w:val="List Table 4 - Accent 4"/>
    <w:basedOn w:val="67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4" w:customStyle="1">
    <w:name w:val="List Table 4 - Accent 5"/>
    <w:basedOn w:val="67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5" w:customStyle="1">
    <w:name w:val="List Table 4 - Accent 6"/>
    <w:basedOn w:val="67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6" w:customStyle="1">
    <w:name w:val="List Table 5 Dark"/>
    <w:basedOn w:val="6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basedOn w:val="67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basedOn w:val="67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basedOn w:val="67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basedOn w:val="67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basedOn w:val="67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basedOn w:val="67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6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basedOn w:val="67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5" w:customStyle="1">
    <w:name w:val="List Table 6 Colorful - Accent 2"/>
    <w:basedOn w:val="67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6" w:customStyle="1">
    <w:name w:val="List Table 6 Colorful - Accent 3"/>
    <w:basedOn w:val="67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7" w:customStyle="1">
    <w:name w:val="List Table 6 Colorful - Accent 4"/>
    <w:basedOn w:val="67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8" w:customStyle="1">
    <w:name w:val="List Table 6 Colorful - Accent 5"/>
    <w:basedOn w:val="67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9" w:customStyle="1">
    <w:name w:val="List Table 6 Colorful - Accent 6"/>
    <w:basedOn w:val="67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0" w:customStyle="1">
    <w:name w:val="List Table 7 Colorful"/>
    <w:basedOn w:val="6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basedOn w:val="67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basedOn w:val="67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basedOn w:val="67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basedOn w:val="67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basedOn w:val="67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basedOn w:val="67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7" w:customStyle="1">
    <w:name w:val="Lined - Accent"/>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Lined - Accent 2"/>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Lined - Accent 3"/>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Lined - Accent 4"/>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Lined - Accent 5"/>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Lined - Accent 6"/>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amp; Lined - Accent"/>
    <w:basedOn w:val="6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basedOn w:val="67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6" w:customStyle="1">
    <w:name w:val="Bordered &amp; Lined - Accent 2"/>
    <w:basedOn w:val="67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7" w:customStyle="1">
    <w:name w:val="Bordered &amp; Lined - Accent 3"/>
    <w:basedOn w:val="67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Bordered &amp; Lined - Accent 4"/>
    <w:basedOn w:val="67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9" w:customStyle="1">
    <w:name w:val="Bordered &amp; Lined - Accent 5"/>
    <w:basedOn w:val="67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Bordered &amp; Lined - Accent 6"/>
    <w:basedOn w:val="67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w:basedOn w:val="6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basedOn w:val="67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3" w:customStyle="1">
    <w:name w:val="Bordered - Accent 2"/>
    <w:basedOn w:val="6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4" w:customStyle="1">
    <w:name w:val="Bordered - Accent 3"/>
    <w:basedOn w:val="6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5" w:customStyle="1">
    <w:name w:val="Bordered - Accent 4"/>
    <w:basedOn w:val="6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6" w:customStyle="1">
    <w:name w:val="Bordered - Accent 5"/>
    <w:basedOn w:val="67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7" w:customStyle="1">
    <w:name w:val="Bordered - Accent 6"/>
    <w:basedOn w:val="6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8" w:customStyle="1">
    <w:name w:val="Footnote Text Char"/>
    <w:link w:val="690"/>
    <w:uiPriority w:val="99"/>
    <w:qFormat/>
    <w:rPr>
      <w:sz w:val="18"/>
    </w:rPr>
  </w:style>
  <w:style w:type="character" w:styleId="849" w:customStyle="1">
    <w:name w:val="Endnote Text Char"/>
    <w:link w:val="684"/>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正文首行缩进 211"/>
    <w:basedOn w:val="852"/>
    <w:next w:val="854"/>
    <w:uiPriority w:val="0"/>
    <w:qFormat/>
    <w:pPr>
      <w:ind w:left="420" w:firstLine="420"/>
      <w:tabs>
        <w:tab w:val="left" w:pos="180" w:leader="none"/>
      </w:tabs>
    </w:pPr>
    <w:rPr>
      <w:rFonts w:ascii="Times New Roman" w:hAnsi="Times New Roman"/>
    </w:rPr>
  </w:style>
  <w:style w:type="paragraph" w:styleId="852" w:customStyle="1">
    <w:name w:val="正文文本缩进11"/>
    <w:basedOn w:val="661"/>
    <w:next w:val="853"/>
    <w:uiPriority w:val="0"/>
    <w:qFormat/>
    <w:pPr>
      <w:ind w:firstLine="480"/>
      <w:tabs>
        <w:tab w:val="left" w:pos="180" w:leader="none"/>
      </w:tabs>
    </w:pPr>
    <w:rPr>
      <w:rFonts w:ascii="Tahoma" w:hAnsi="Tahoma"/>
      <w:sz w:val="24"/>
    </w:rPr>
  </w:style>
  <w:style w:type="paragraph" w:styleId="853" w:customStyle="1">
    <w:name w:val="寄信人地址11"/>
    <w:basedOn w:val="661"/>
    <w:uiPriority w:val="0"/>
    <w:qFormat/>
    <w:rPr>
      <w:rFonts w:ascii="Arial" w:hAnsi="Arial"/>
    </w:rPr>
  </w:style>
  <w:style w:type="paragraph" w:styleId="854" w:customStyle="1">
    <w:name w:val="正文缩进11"/>
    <w:basedOn w:val="661"/>
    <w:uiPriority w:val="0"/>
    <w:qFormat/>
    <w:pPr>
      <w:ind w:firstLine="420"/>
    </w:pPr>
  </w:style>
  <w:style w:type="paragraph" w:styleId="855"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rPr>
  </w:style>
  <w:style w:type="paragraph" w:styleId="856" w:customStyle="1">
    <w:name w:val="Default"/>
    <w:basedOn w:val="661"/>
    <w:uiPriority w:val="0"/>
    <w:semiHidden/>
    <w:qFormat/>
    <w:pPr>
      <w:jc w:val="left"/>
    </w:pPr>
    <w:rPr>
      <w:rFonts w:ascii="宋体" w:hAnsi="Calibri" w:cs="宋体"/>
      <w:color w:val="000000"/>
      <w:sz w:val="24"/>
    </w:rPr>
  </w:style>
  <w:style w:type="character" w:styleId="857" w:customStyle="1">
    <w:name w:val="页眉 字符"/>
    <w:basedOn w:val="671"/>
    <w:link w:val="686"/>
    <w:uiPriority w:val="0"/>
    <w:qFormat/>
    <w:rPr>
      <w:rFonts w:asciiTheme="minorHAnsi" w:hAnsiTheme="minorHAnsi" w:eastAsiaTheme="minorEastAsia" w:cstheme="minorBidi"/>
      <w:sz w:val="18"/>
      <w:szCs w:val="18"/>
    </w:rPr>
  </w:style>
  <w:style w:type="character" w:styleId="858" w:customStyle="1">
    <w:name w:val="页脚 字符"/>
    <w:basedOn w:val="671"/>
    <w:link w:val="685"/>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60" w:customStyle="1">
    <w:name w:val="页脚1"/>
    <w:basedOn w:val="661"/>
    <w:uiPriority w:val="99"/>
    <w:unhideWhenUsed/>
    <w:qFormat/>
    <w:pPr>
      <w:jc w:val="left"/>
      <w:tabs>
        <w:tab w:val="center" w:pos="4153" w:leader="none"/>
        <w:tab w:val="right" w:pos="8306" w:leader="none"/>
      </w:tabs>
    </w:pPr>
    <w:rPr>
      <w:sz w:val="18"/>
      <w:szCs w:val="18"/>
    </w:rPr>
  </w:style>
  <w:style w:type="paragraph" w:styleId="861" w:customStyle="1">
    <w:name w:val="普通正文"/>
    <w:basedOn w:val="661"/>
    <w:uiPriority w:val="0"/>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uiPriority w:val="0"/>
    <w:qFormat/>
    <w:pPr>
      <w:ind w:firstLine="420"/>
    </w:pPr>
  </w:style>
  <w:style w:type="paragraph" w:styleId="863" w:customStyle="1">
    <w:name w:val="正文文本缩进1"/>
    <w:basedOn w:val="661"/>
    <w:uiPriority w:val="0"/>
    <w:qFormat/>
    <w:pPr>
      <w:ind w:left="420"/>
      <w:spacing w:after="120"/>
    </w:pPr>
  </w:style>
  <w:style w:type="paragraph" w:styleId="864" w:customStyle="1">
    <w:name w:val="Table Paragraph"/>
    <w:basedOn w:val="661"/>
    <w:uiPriority w:val="1"/>
    <w:qFormat/>
    <w:rPr>
      <w:rFonts w:ascii="宋体" w:hAnsi="宋体" w:eastAsia="宋体" w:cs="宋体"/>
      <w:lang w:val="zh-CN" w:bidi="zh-CN"/>
    </w:rPr>
  </w:style>
  <w:style w:type="paragraph" w:styleId="865" w:customStyle="1">
    <w:name w:val="一级条标题"/>
    <w:basedOn w:val="866"/>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next w:val="6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67" w:customStyle="1">
    <w:name w:val="段"/>
    <w:next w:val="661"/>
    <w:uiPriority w:val="0"/>
    <w:qFormat/>
    <w:pPr>
      <w:ind w:firstLine="200"/>
      <w:jc w:val="both"/>
    </w:pPr>
    <w:rPr>
      <w:rFonts w:hint="default" w:ascii="宋体" w:hAnsi="Calibri" w:eastAsia="宋体" w:cs="Times New Roman"/>
      <w:sz w:val="21"/>
      <w:szCs w:val="22"/>
    </w:rPr>
  </w:style>
  <w:style w:type="paragraph" w:styleId="868">
    <w:name w:val="No Spacing"/>
    <w:uiPriority w:val="1"/>
    <w:qFormat/>
    <w:rPr>
      <w:rFonts w:hint="default" w:ascii="Calibri" w:hAnsi="Calibri" w:eastAsia="宋体" w:cs="Times New Roman"/>
      <w:sz w:val="22"/>
      <w:szCs w:val="22"/>
    </w:rPr>
  </w:style>
  <w:style w:type="character" w:styleId="869" w:customStyle="1">
    <w:name w:val="font11"/>
    <w:uiPriority w:val="0"/>
    <w:qFormat/>
    <w:rPr>
      <w:rFonts w:ascii="����" w:hAnsi="����" w:eastAsia="����" w:cs="����"/>
      <w:color w:val="393939"/>
      <w:sz w:val="18"/>
      <w:szCs w:val="18"/>
      <w:u w:val="none"/>
    </w:rPr>
  </w:style>
  <w:style w:type="paragraph" w:styleId="870" w:customStyle="1">
    <w:name w:val="普通(网站)1"/>
    <w:basedOn w:val="661"/>
    <w:uiPriority w:val="0"/>
    <w:qFormat/>
    <w:pPr>
      <w:jc w:val="left"/>
      <w:spacing w:before="100" w:beforeAutospacing="1" w:after="100" w:afterAutospacing="1"/>
      <w:widowControl/>
    </w:pPr>
    <w:rPr>
      <w:rFonts w:ascii="宋体" w:hAnsi="宋体" w:cs="宋体"/>
      <w:sz w:val="24"/>
      <w:szCs w:val="24"/>
    </w:rPr>
  </w:style>
  <w:style w:type="paragraph" w:styleId="871" w:customStyle="1">
    <w:name w:val="纯文本1"/>
    <w:basedOn w:val="661"/>
    <w:uiPriority w:val="0"/>
    <w:qFormat/>
    <w:rPr>
      <w:rFonts w:ascii="宋体" w:hAnsi="Courier New"/>
    </w:rPr>
  </w:style>
  <w:style w:type="character" w:styleId="872" w:customStyle="1">
    <w:name w:val="font21"/>
    <w:basedOn w:val="671"/>
    <w:uiPriority w:val="0"/>
    <w:qFormat/>
    <w:rPr>
      <w:rFonts w:hint="eastAsia" w:ascii="宋体" w:hAnsi="宋体" w:eastAsia="宋体" w:cs="宋体"/>
      <w:color w:val="000000"/>
      <w:sz w:val="20"/>
      <w:szCs w:val="20"/>
      <w:u w:val="none"/>
    </w:rPr>
  </w:style>
  <w:style w:type="paragraph" w:styleId="873" w:customStyle="1">
    <w:name w:val="文本块1"/>
    <w:basedOn w:val="661"/>
    <w:uiPriority w:val="0"/>
    <w:qFormat/>
    <w:pPr>
      <w:ind w:left="1440"/>
      <w:spacing w:after="120"/>
    </w:pPr>
    <w:rPr>
      <w:rFonts w:hint="eastAsi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134</cp:revision>
  <dcterms:created xsi:type="dcterms:W3CDTF">2014-10-30T04:08:00Z</dcterms:created>
  <dcterms:modified xsi:type="dcterms:W3CDTF">2025-12-08T02:18:56Z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40F19427FA354C71BE4E7606DE295259_13</vt:lpwstr>
  </property>
  <property fmtid="{D5CDD505-2E9C-101B-9397-08002B2CF9AE}" pid="4" name="KSOTemplateDocerSaveRecord">
    <vt:lpwstr>eyJoZGlkIjoiZTVkM2EyNjQ1N2NhYmEyMmE4OWVkZDJmMzAxOTFiZGQiLCJ1c2VySWQiOiIxNzM0NDM5ODczIn0=</vt:lpwstr>
  </property>
</Properties>
</file>